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F18" w:rsidRPr="008D39F9" w:rsidRDefault="00D52F18" w:rsidP="00D52F18">
      <w:pPr>
        <w:pStyle w:val="Topptekst"/>
        <w:tabs>
          <w:tab w:val="left" w:pos="708"/>
        </w:tabs>
        <w:rPr>
          <w:rFonts w:asciiTheme="minorHAnsi" w:hAnsiTheme="minorHAnsi" w:cstheme="minorHAnsi"/>
          <w:b/>
          <w:sz w:val="22"/>
          <w:szCs w:val="24"/>
        </w:rPr>
      </w:pPr>
      <w:bookmarkStart w:id="0" w:name="_GoBack"/>
      <w:bookmarkEnd w:id="0"/>
      <w:r w:rsidRPr="008D39F9">
        <w:rPr>
          <w:rFonts w:asciiTheme="minorHAnsi" w:hAnsiTheme="minorHAnsi" w:cstheme="minorHAnsi"/>
          <w:b/>
          <w:sz w:val="22"/>
        </w:rPr>
        <w:t>Informert samtykke betyr at jeg som bruker</w:t>
      </w:r>
    </w:p>
    <w:p w:rsidR="00D52F18" w:rsidRPr="008D39F9" w:rsidRDefault="00D52F18" w:rsidP="00D52F18">
      <w:pPr>
        <w:pStyle w:val="Topptekst"/>
        <w:numPr>
          <w:ilvl w:val="0"/>
          <w:numId w:val="1"/>
        </w:numPr>
        <w:rPr>
          <w:rFonts w:asciiTheme="minorHAnsi" w:hAnsiTheme="minorHAnsi" w:cstheme="minorHAnsi"/>
          <w:sz w:val="20"/>
        </w:rPr>
      </w:pPr>
      <w:r w:rsidRPr="008D39F9">
        <w:rPr>
          <w:rFonts w:asciiTheme="minorHAnsi" w:hAnsiTheme="minorHAnsi" w:cstheme="minorHAnsi"/>
          <w:sz w:val="20"/>
        </w:rPr>
        <w:t>har fått informasjon om hvilke opplysninger som skal utveksles</w:t>
      </w:r>
    </w:p>
    <w:p w:rsidR="00D52F18" w:rsidRPr="008D39F9" w:rsidRDefault="00D52F18" w:rsidP="00D52F18">
      <w:pPr>
        <w:pStyle w:val="Topptekst"/>
        <w:numPr>
          <w:ilvl w:val="0"/>
          <w:numId w:val="1"/>
        </w:numPr>
        <w:rPr>
          <w:rFonts w:asciiTheme="minorHAnsi" w:hAnsiTheme="minorHAnsi" w:cstheme="minorHAnsi"/>
          <w:sz w:val="20"/>
        </w:rPr>
      </w:pPr>
      <w:r w:rsidRPr="008D39F9">
        <w:rPr>
          <w:rFonts w:asciiTheme="minorHAnsi" w:hAnsiTheme="minorHAnsi" w:cstheme="minorHAnsi"/>
          <w:sz w:val="20"/>
        </w:rPr>
        <w:t>vet hvordan opplysningene skal brukes og konsekvensene av dette</w:t>
      </w:r>
    </w:p>
    <w:p w:rsidR="00D52F18" w:rsidRPr="008D39F9" w:rsidRDefault="00D52F18" w:rsidP="00D52F18">
      <w:pPr>
        <w:pStyle w:val="Topptekst"/>
        <w:numPr>
          <w:ilvl w:val="0"/>
          <w:numId w:val="1"/>
        </w:numPr>
        <w:rPr>
          <w:rFonts w:asciiTheme="minorHAnsi" w:hAnsiTheme="minorHAnsi" w:cstheme="minorHAnsi"/>
          <w:sz w:val="20"/>
        </w:rPr>
      </w:pPr>
      <w:r w:rsidRPr="008D39F9">
        <w:rPr>
          <w:rFonts w:asciiTheme="minorHAnsi" w:hAnsiTheme="minorHAnsi" w:cstheme="minorHAnsi"/>
          <w:sz w:val="20"/>
        </w:rPr>
        <w:t>er kjent med at det ikke skal utveksles flere opplysninger enn det som er nødvendig</w:t>
      </w:r>
    </w:p>
    <w:p w:rsidR="00D52F18" w:rsidRPr="008D39F9" w:rsidRDefault="00D52F18" w:rsidP="002C62A0">
      <w:pPr>
        <w:pStyle w:val="Topptekst"/>
        <w:numPr>
          <w:ilvl w:val="0"/>
          <w:numId w:val="1"/>
        </w:numPr>
        <w:rPr>
          <w:rFonts w:asciiTheme="minorHAnsi" w:hAnsiTheme="minorHAnsi" w:cstheme="minorHAnsi"/>
          <w:sz w:val="20"/>
        </w:rPr>
      </w:pPr>
      <w:r w:rsidRPr="008D39F9">
        <w:rPr>
          <w:rFonts w:asciiTheme="minorHAnsi" w:hAnsiTheme="minorHAnsi" w:cstheme="minorHAnsi"/>
          <w:sz w:val="20"/>
        </w:rPr>
        <w:t xml:space="preserve">er kjent med at jeg kan nekte at opplysninger om spesielle forhold utveksles, eller at spesielle fagmiljø eller enkeltpersoner får bestemte opplysninger </w:t>
      </w:r>
    </w:p>
    <w:p w:rsidR="00D52F18" w:rsidRPr="008D39F9" w:rsidRDefault="00D52F18" w:rsidP="00D52F18">
      <w:pPr>
        <w:pStyle w:val="Topptekst"/>
        <w:numPr>
          <w:ilvl w:val="0"/>
          <w:numId w:val="1"/>
        </w:numPr>
        <w:rPr>
          <w:rFonts w:asciiTheme="minorHAnsi" w:hAnsiTheme="minorHAnsi" w:cstheme="minorHAnsi"/>
          <w:sz w:val="20"/>
        </w:rPr>
      </w:pPr>
      <w:r w:rsidRPr="008D39F9">
        <w:rPr>
          <w:rFonts w:asciiTheme="minorHAnsi" w:hAnsiTheme="minorHAnsi" w:cstheme="minorHAnsi"/>
          <w:sz w:val="20"/>
        </w:rPr>
        <w:t>er kjent med de konsekvenser begrensninger på informasjon kan ha for mitt tilbud</w:t>
      </w:r>
    </w:p>
    <w:p w:rsidR="00D52F18" w:rsidRPr="008D39F9" w:rsidRDefault="00D52F18" w:rsidP="00D52F18">
      <w:pPr>
        <w:pStyle w:val="Topptekst"/>
        <w:tabs>
          <w:tab w:val="clear" w:pos="4536"/>
          <w:tab w:val="clear" w:pos="9072"/>
          <w:tab w:val="right" w:pos="9637"/>
        </w:tabs>
        <w:rPr>
          <w:rFonts w:asciiTheme="minorHAnsi" w:hAnsiTheme="minorHAnsi" w:cstheme="minorHAnsi"/>
          <w:sz w:val="28"/>
        </w:rPr>
      </w:pPr>
      <w:r w:rsidRPr="008D39F9">
        <w:rPr>
          <w:rFonts w:asciiTheme="minorHAnsi" w:hAnsiTheme="minorHAnsi" w:cstheme="minorHAnsi"/>
          <w:b/>
          <w:sz w:val="20"/>
        </w:rPr>
        <w:t xml:space="preserve">Merk! </w:t>
      </w:r>
      <w:r w:rsidRPr="008D39F9">
        <w:rPr>
          <w:rFonts w:asciiTheme="minorHAnsi" w:hAnsiTheme="minorHAnsi" w:cstheme="minorHAnsi"/>
          <w:sz w:val="20"/>
        </w:rPr>
        <w:t>Dersom det er fare for liv og helse, kan informasjon gis uten samtykke.</w:t>
      </w:r>
      <w:r w:rsidRPr="008D39F9">
        <w:rPr>
          <w:rFonts w:asciiTheme="minorHAnsi" w:hAnsiTheme="minorHAnsi" w:cstheme="minorHAnsi"/>
          <w:sz w:val="28"/>
        </w:rPr>
        <w:tab/>
      </w:r>
    </w:p>
    <w:p w:rsidR="00D52F18" w:rsidRPr="008D39F9" w:rsidRDefault="00D52F18" w:rsidP="00D52F18">
      <w:pPr>
        <w:pStyle w:val="Topptekst"/>
        <w:tabs>
          <w:tab w:val="left" w:pos="708"/>
        </w:tabs>
        <w:spacing w:before="120"/>
        <w:rPr>
          <w:rFonts w:asciiTheme="minorHAnsi" w:hAnsiTheme="minorHAnsi" w:cstheme="minorHAnsi"/>
          <w:sz w:val="20"/>
          <w:szCs w:val="18"/>
        </w:rPr>
      </w:pPr>
      <w:r w:rsidRPr="008D39F9">
        <w:rPr>
          <w:rFonts w:asciiTheme="minorHAnsi" w:hAnsiTheme="minorHAnsi" w:cstheme="minorHAnsi"/>
          <w:b/>
          <w:sz w:val="20"/>
          <w:szCs w:val="18"/>
        </w:rPr>
        <w:t xml:space="preserve">Lovbestemmelser om taushetsplikt finnes i forvaltningsloven § 13 og annet lovverk tjenestene er underlagt </w:t>
      </w:r>
      <w:r w:rsidRPr="008D39F9">
        <w:rPr>
          <w:rFonts w:asciiTheme="minorHAnsi" w:hAnsiTheme="minorHAnsi" w:cstheme="minorHAnsi"/>
          <w:sz w:val="20"/>
          <w:szCs w:val="18"/>
        </w:rPr>
        <w:t xml:space="preserve">(som </w:t>
      </w:r>
      <w:proofErr w:type="spellStart"/>
      <w:r w:rsidRPr="008D39F9">
        <w:rPr>
          <w:rFonts w:asciiTheme="minorHAnsi" w:hAnsiTheme="minorHAnsi" w:cstheme="minorHAnsi"/>
          <w:sz w:val="20"/>
          <w:szCs w:val="18"/>
        </w:rPr>
        <w:t>helsepersonelloven</w:t>
      </w:r>
      <w:proofErr w:type="spellEnd"/>
      <w:r w:rsidRPr="008D39F9">
        <w:rPr>
          <w:rFonts w:asciiTheme="minorHAnsi" w:hAnsiTheme="minorHAnsi" w:cstheme="minorHAnsi"/>
          <w:sz w:val="20"/>
          <w:szCs w:val="18"/>
        </w:rPr>
        <w:t>, barnehageloven, opplæringsloven, lov om sosiale tjenester i NAV, barneverntjenesteloven, straffeloven med flere).</w:t>
      </w:r>
    </w:p>
    <w:p w:rsidR="00D52F18" w:rsidRDefault="00D52F18" w:rsidP="00D52F18">
      <w:pPr>
        <w:rPr>
          <w:sz w:val="16"/>
          <w:szCs w:val="16"/>
        </w:rPr>
      </w:pPr>
    </w:p>
    <w:p w:rsidR="00D52F18" w:rsidRDefault="00D52F18" w:rsidP="00D52F18">
      <w:pPr>
        <w:rPr>
          <w:sz w:val="16"/>
          <w:szCs w:val="16"/>
          <w:lang w:eastAsia="nb-NO"/>
        </w:rPr>
      </w:pPr>
    </w:p>
    <w:p w:rsidR="00432A85" w:rsidRDefault="00D52F18" w:rsidP="00D52F18">
      <w:pPr>
        <w:rPr>
          <w:rFonts w:asciiTheme="minorHAnsi" w:hAnsiTheme="minorHAnsi" w:cstheme="minorHAnsi"/>
          <w:b/>
        </w:rPr>
      </w:pPr>
      <w:r w:rsidRPr="00F17810">
        <w:rPr>
          <w:rFonts w:asciiTheme="minorHAnsi" w:hAnsiTheme="minorHAnsi" w:cstheme="minorHAnsi"/>
          <w:b/>
        </w:rPr>
        <w:t xml:space="preserve">Brukers/barnets </w:t>
      </w:r>
      <w:proofErr w:type="gramStart"/>
      <w:r w:rsidRPr="00F17810">
        <w:rPr>
          <w:rFonts w:asciiTheme="minorHAnsi" w:hAnsiTheme="minorHAnsi" w:cstheme="minorHAnsi"/>
          <w:b/>
        </w:rPr>
        <w:t>navn:…</w:t>
      </w:r>
      <w:proofErr w:type="gramEnd"/>
      <w:r w:rsidRPr="00F17810">
        <w:rPr>
          <w:rFonts w:asciiTheme="minorHAnsi" w:hAnsiTheme="minorHAnsi" w:cstheme="minorHAnsi"/>
          <w:b/>
        </w:rPr>
        <w:t>………………………………………………………</w:t>
      </w:r>
      <w:r w:rsidR="00432A85">
        <w:rPr>
          <w:rFonts w:asciiTheme="minorHAnsi" w:hAnsiTheme="minorHAnsi" w:cstheme="minorHAnsi"/>
          <w:b/>
        </w:rPr>
        <w:t>...........................................</w:t>
      </w:r>
      <w:r w:rsidR="00814134">
        <w:rPr>
          <w:rFonts w:asciiTheme="minorHAnsi" w:hAnsiTheme="minorHAnsi" w:cstheme="minorHAnsi"/>
          <w:b/>
        </w:rPr>
        <w:t xml:space="preserve"> </w:t>
      </w:r>
    </w:p>
    <w:p w:rsidR="00432A85" w:rsidRPr="00566AEA" w:rsidRDefault="00511319" w:rsidP="00D52F18">
      <w:pPr>
        <w:rPr>
          <w:rFonts w:asciiTheme="minorHAnsi" w:hAnsiTheme="minorHAnsi" w:cstheme="minorHAnsi"/>
        </w:rPr>
      </w:pPr>
      <w:proofErr w:type="gramStart"/>
      <w:r w:rsidRPr="00BC1823">
        <w:rPr>
          <w:rFonts w:asciiTheme="minorHAnsi" w:hAnsiTheme="minorHAnsi" w:cstheme="minorHAnsi"/>
        </w:rPr>
        <w:t>Fødsels</w:t>
      </w:r>
      <w:r w:rsidR="00432A85" w:rsidRPr="00BC1823">
        <w:rPr>
          <w:rFonts w:asciiTheme="minorHAnsi" w:hAnsiTheme="minorHAnsi" w:cstheme="minorHAnsi"/>
        </w:rPr>
        <w:t>nummer</w:t>
      </w:r>
      <w:r w:rsidRPr="00BC1823">
        <w:rPr>
          <w:rFonts w:asciiTheme="minorHAnsi" w:hAnsiTheme="minorHAnsi" w:cstheme="minorHAnsi"/>
        </w:rPr>
        <w:t>:</w:t>
      </w:r>
      <w:r w:rsidR="00B27694" w:rsidRPr="00422A42">
        <w:rPr>
          <w:rFonts w:asciiTheme="minorHAnsi" w:hAnsiTheme="minorHAnsi" w:cstheme="minorHAnsi"/>
          <w:sz w:val="22"/>
        </w:rPr>
        <w:t>.......</w:t>
      </w:r>
      <w:proofErr w:type="gramEnd"/>
      <w:r w:rsidRPr="00422A42">
        <w:rPr>
          <w:rFonts w:asciiTheme="minorHAnsi" w:hAnsiTheme="minorHAnsi" w:cstheme="minorHAnsi"/>
          <w:sz w:val="22"/>
        </w:rPr>
        <w:t>…………………….</w:t>
      </w:r>
      <w:r w:rsidR="00432A85" w:rsidRPr="00422A42">
        <w:rPr>
          <w:rFonts w:asciiTheme="minorHAnsi" w:hAnsiTheme="minorHAnsi" w:cstheme="minorHAnsi"/>
          <w:sz w:val="22"/>
        </w:rPr>
        <w:t>........</w:t>
      </w:r>
    </w:p>
    <w:p w:rsidR="00D52F18" w:rsidRPr="00566AEA" w:rsidRDefault="00D52F18" w:rsidP="00D52F18">
      <w:pPr>
        <w:rPr>
          <w:rFonts w:asciiTheme="minorHAnsi" w:hAnsiTheme="minorHAnsi" w:cstheme="minorHAnsi"/>
        </w:rPr>
      </w:pPr>
    </w:p>
    <w:p w:rsidR="000C224E" w:rsidRPr="00F17810" w:rsidRDefault="00D52F18" w:rsidP="00D52F18">
      <w:pPr>
        <w:rPr>
          <w:rFonts w:asciiTheme="minorHAnsi" w:hAnsiTheme="minorHAnsi" w:cstheme="minorHAnsi"/>
          <w:b/>
        </w:rPr>
      </w:pPr>
      <w:r w:rsidRPr="00671FD0">
        <w:rPr>
          <w:rFonts w:asciiTheme="minorHAnsi" w:hAnsiTheme="minorHAnsi" w:cstheme="minorHAnsi"/>
          <w:b/>
        </w:rPr>
        <w:t xml:space="preserve">Jeg samtykker til at </w:t>
      </w:r>
      <w:r w:rsidR="008C75EF" w:rsidRPr="00671FD0">
        <w:rPr>
          <w:rFonts w:asciiTheme="minorHAnsi" w:hAnsiTheme="minorHAnsi" w:cstheme="minorHAnsi"/>
          <w:b/>
        </w:rPr>
        <w:t>følgende instanser kan utveksle</w:t>
      </w:r>
      <w:r w:rsidR="00671FD0">
        <w:rPr>
          <w:rFonts w:asciiTheme="minorHAnsi" w:hAnsiTheme="minorHAnsi" w:cstheme="minorHAnsi"/>
          <w:b/>
        </w:rPr>
        <w:t xml:space="preserve"> </w:t>
      </w:r>
      <w:r w:rsidR="00A620DC" w:rsidRPr="00671FD0">
        <w:rPr>
          <w:rFonts w:asciiTheme="minorHAnsi" w:hAnsiTheme="minorHAnsi" w:cstheme="minorHAnsi"/>
          <w:b/>
        </w:rPr>
        <w:t>informasjon:</w:t>
      </w:r>
    </w:p>
    <w:tbl>
      <w:tblPr>
        <w:tblStyle w:val="Tabellrutenett"/>
        <w:tblW w:w="0" w:type="auto"/>
        <w:tblLayout w:type="fixed"/>
        <w:tblLook w:val="04A0" w:firstRow="1" w:lastRow="0" w:firstColumn="1" w:lastColumn="0" w:noHBand="0" w:noVBand="1"/>
      </w:tblPr>
      <w:tblGrid>
        <w:gridCol w:w="557"/>
        <w:gridCol w:w="3485"/>
        <w:gridCol w:w="278"/>
        <w:gridCol w:w="508"/>
        <w:gridCol w:w="3113"/>
      </w:tblGrid>
      <w:tr w:rsidR="00B27694" w:rsidTr="008D39F9">
        <w:tc>
          <w:tcPr>
            <w:tcW w:w="557" w:type="dxa"/>
            <w:shd w:val="clear" w:color="auto" w:fill="BDD6EE" w:themeFill="accent1" w:themeFillTint="66"/>
            <w:vAlign w:val="center"/>
          </w:tcPr>
          <w:p w:rsidR="00B27694" w:rsidRDefault="00B27694" w:rsidP="008D39F9">
            <w:pPr>
              <w:jc w:val="center"/>
              <w:rPr>
                <w:rFonts w:asciiTheme="minorHAnsi" w:hAnsiTheme="minorHAnsi" w:cstheme="minorHAnsi"/>
              </w:rPr>
            </w:pPr>
            <w:r>
              <w:rPr>
                <w:rFonts w:asciiTheme="minorHAnsi" w:hAnsiTheme="minorHAnsi" w:cstheme="minorHAnsi"/>
              </w:rPr>
              <w:t>JA</w:t>
            </w:r>
          </w:p>
        </w:tc>
        <w:tc>
          <w:tcPr>
            <w:tcW w:w="3485" w:type="dxa"/>
            <w:shd w:val="clear" w:color="auto" w:fill="BDD6EE" w:themeFill="accent1" w:themeFillTint="66"/>
          </w:tcPr>
          <w:p w:rsidR="00B27694" w:rsidRDefault="00B27694" w:rsidP="00D52F18">
            <w:pPr>
              <w:rPr>
                <w:rFonts w:asciiTheme="minorHAnsi" w:hAnsiTheme="minorHAnsi" w:cstheme="minorHAnsi"/>
              </w:rPr>
            </w:pPr>
            <w:r>
              <w:rPr>
                <w:rFonts w:asciiTheme="minorHAnsi" w:hAnsiTheme="minorHAnsi" w:cstheme="minorHAnsi"/>
              </w:rPr>
              <w:t>Tjenester for barn og unge (under 18 år)</w:t>
            </w:r>
          </w:p>
        </w:tc>
        <w:tc>
          <w:tcPr>
            <w:tcW w:w="278" w:type="dxa"/>
            <w:tcBorders>
              <w:top w:val="nil"/>
              <w:bottom w:val="nil"/>
            </w:tcBorders>
            <w:shd w:val="clear" w:color="auto" w:fill="FFFFFF" w:themeFill="background1"/>
          </w:tcPr>
          <w:p w:rsidR="00B27694" w:rsidRDefault="00B27694" w:rsidP="00D52F18">
            <w:pPr>
              <w:rPr>
                <w:rFonts w:asciiTheme="minorHAnsi" w:hAnsiTheme="minorHAnsi" w:cstheme="minorHAnsi"/>
              </w:rPr>
            </w:pPr>
          </w:p>
        </w:tc>
        <w:tc>
          <w:tcPr>
            <w:tcW w:w="508" w:type="dxa"/>
            <w:shd w:val="clear" w:color="auto" w:fill="BDD6EE" w:themeFill="accent1" w:themeFillTint="66"/>
            <w:vAlign w:val="center"/>
          </w:tcPr>
          <w:p w:rsidR="00B27694" w:rsidRDefault="00B27694" w:rsidP="008D39F9">
            <w:pPr>
              <w:jc w:val="center"/>
              <w:rPr>
                <w:rFonts w:asciiTheme="minorHAnsi" w:hAnsiTheme="minorHAnsi" w:cstheme="minorHAnsi"/>
              </w:rPr>
            </w:pPr>
            <w:r>
              <w:rPr>
                <w:rFonts w:asciiTheme="minorHAnsi" w:hAnsiTheme="minorHAnsi" w:cstheme="minorHAnsi"/>
              </w:rPr>
              <w:t>JA</w:t>
            </w:r>
          </w:p>
        </w:tc>
        <w:tc>
          <w:tcPr>
            <w:tcW w:w="3113" w:type="dxa"/>
            <w:shd w:val="clear" w:color="auto" w:fill="BDD6EE" w:themeFill="accent1" w:themeFillTint="66"/>
            <w:vAlign w:val="center"/>
          </w:tcPr>
          <w:p w:rsidR="00B27694" w:rsidRDefault="00B27694" w:rsidP="008D39F9">
            <w:pPr>
              <w:rPr>
                <w:rFonts w:asciiTheme="minorHAnsi" w:hAnsiTheme="minorHAnsi" w:cstheme="minorHAnsi"/>
              </w:rPr>
            </w:pPr>
            <w:r>
              <w:rPr>
                <w:rFonts w:asciiTheme="minorHAnsi" w:hAnsiTheme="minorHAnsi" w:cstheme="minorHAnsi"/>
              </w:rPr>
              <w:t>Voksen-/familietjenester</w:t>
            </w:r>
          </w:p>
        </w:tc>
      </w:tr>
      <w:tr w:rsidR="00B27694" w:rsidTr="008D39F9">
        <w:tc>
          <w:tcPr>
            <w:tcW w:w="557" w:type="dxa"/>
          </w:tcPr>
          <w:p w:rsidR="00B27694" w:rsidRDefault="00B27694" w:rsidP="00D52F18">
            <w:pPr>
              <w:rPr>
                <w:rFonts w:asciiTheme="minorHAnsi" w:hAnsiTheme="minorHAnsi" w:cstheme="minorHAnsi"/>
              </w:rPr>
            </w:pPr>
          </w:p>
        </w:tc>
        <w:tc>
          <w:tcPr>
            <w:tcW w:w="3485" w:type="dxa"/>
          </w:tcPr>
          <w:p w:rsidR="00B27694" w:rsidRDefault="00B27694" w:rsidP="00D52F18">
            <w:pPr>
              <w:rPr>
                <w:rFonts w:asciiTheme="minorHAnsi" w:hAnsiTheme="minorHAnsi" w:cstheme="minorHAnsi"/>
              </w:rPr>
            </w:pPr>
            <w:r>
              <w:rPr>
                <w:rFonts w:asciiTheme="minorHAnsi" w:hAnsiTheme="minorHAnsi" w:cstheme="minorHAnsi"/>
              </w:rPr>
              <w:t>Barnehagen</w:t>
            </w:r>
          </w:p>
        </w:tc>
        <w:tc>
          <w:tcPr>
            <w:tcW w:w="278" w:type="dxa"/>
            <w:tcBorders>
              <w:top w:val="nil"/>
              <w:bottom w:val="nil"/>
            </w:tcBorders>
          </w:tcPr>
          <w:p w:rsidR="00B27694" w:rsidRDefault="00B27694" w:rsidP="00D52F18">
            <w:pPr>
              <w:rPr>
                <w:rFonts w:asciiTheme="minorHAnsi" w:hAnsiTheme="minorHAnsi" w:cstheme="minorHAnsi"/>
              </w:rPr>
            </w:pPr>
          </w:p>
        </w:tc>
        <w:tc>
          <w:tcPr>
            <w:tcW w:w="508" w:type="dxa"/>
          </w:tcPr>
          <w:p w:rsidR="00B27694" w:rsidRDefault="00B27694" w:rsidP="00D52F18">
            <w:pPr>
              <w:rPr>
                <w:rFonts w:asciiTheme="minorHAnsi" w:hAnsiTheme="minorHAnsi" w:cstheme="minorHAnsi"/>
              </w:rPr>
            </w:pPr>
          </w:p>
        </w:tc>
        <w:tc>
          <w:tcPr>
            <w:tcW w:w="3113" w:type="dxa"/>
          </w:tcPr>
          <w:p w:rsidR="00B27694" w:rsidRDefault="00B27694" w:rsidP="008D39F9">
            <w:pPr>
              <w:rPr>
                <w:rFonts w:asciiTheme="minorHAnsi" w:hAnsiTheme="minorHAnsi" w:cstheme="minorHAnsi"/>
              </w:rPr>
            </w:pPr>
            <w:r>
              <w:rPr>
                <w:rFonts w:asciiTheme="minorHAnsi" w:hAnsiTheme="minorHAnsi" w:cstheme="minorHAnsi"/>
              </w:rPr>
              <w:t>NAV</w:t>
            </w:r>
          </w:p>
        </w:tc>
      </w:tr>
      <w:tr w:rsidR="00B27694" w:rsidTr="008D39F9">
        <w:tc>
          <w:tcPr>
            <w:tcW w:w="557" w:type="dxa"/>
          </w:tcPr>
          <w:p w:rsidR="00B27694" w:rsidRDefault="00B27694" w:rsidP="00D52F18">
            <w:pPr>
              <w:rPr>
                <w:rFonts w:asciiTheme="minorHAnsi" w:hAnsiTheme="minorHAnsi" w:cstheme="minorHAnsi"/>
              </w:rPr>
            </w:pPr>
          </w:p>
        </w:tc>
        <w:tc>
          <w:tcPr>
            <w:tcW w:w="3485" w:type="dxa"/>
          </w:tcPr>
          <w:p w:rsidR="00B27694" w:rsidRDefault="00B27694" w:rsidP="00D52F18">
            <w:pPr>
              <w:rPr>
                <w:rFonts w:asciiTheme="minorHAnsi" w:hAnsiTheme="minorHAnsi" w:cstheme="minorHAnsi"/>
              </w:rPr>
            </w:pPr>
            <w:r>
              <w:rPr>
                <w:rFonts w:asciiTheme="minorHAnsi" w:hAnsiTheme="minorHAnsi" w:cstheme="minorHAnsi"/>
              </w:rPr>
              <w:t>Skolen</w:t>
            </w:r>
          </w:p>
        </w:tc>
        <w:tc>
          <w:tcPr>
            <w:tcW w:w="278" w:type="dxa"/>
            <w:tcBorders>
              <w:top w:val="nil"/>
              <w:bottom w:val="nil"/>
            </w:tcBorders>
          </w:tcPr>
          <w:p w:rsidR="00B27694" w:rsidRDefault="00B27694" w:rsidP="00D52F18">
            <w:pPr>
              <w:rPr>
                <w:rFonts w:asciiTheme="minorHAnsi" w:hAnsiTheme="minorHAnsi" w:cstheme="minorHAnsi"/>
              </w:rPr>
            </w:pPr>
          </w:p>
        </w:tc>
        <w:tc>
          <w:tcPr>
            <w:tcW w:w="508" w:type="dxa"/>
          </w:tcPr>
          <w:p w:rsidR="00B27694" w:rsidRDefault="00B27694" w:rsidP="00D52F18">
            <w:pPr>
              <w:rPr>
                <w:rFonts w:asciiTheme="minorHAnsi" w:hAnsiTheme="minorHAnsi" w:cstheme="minorHAnsi"/>
              </w:rPr>
            </w:pPr>
          </w:p>
        </w:tc>
        <w:tc>
          <w:tcPr>
            <w:tcW w:w="3113" w:type="dxa"/>
          </w:tcPr>
          <w:p w:rsidR="00B27694" w:rsidRDefault="00B27694" w:rsidP="00D52F18">
            <w:pPr>
              <w:rPr>
                <w:rFonts w:asciiTheme="minorHAnsi" w:hAnsiTheme="minorHAnsi" w:cstheme="minorHAnsi"/>
              </w:rPr>
            </w:pPr>
            <w:r>
              <w:rPr>
                <w:rFonts w:asciiTheme="minorHAnsi" w:hAnsiTheme="minorHAnsi" w:cstheme="minorHAnsi"/>
              </w:rPr>
              <w:t>Psykisk helse</w:t>
            </w:r>
          </w:p>
        </w:tc>
      </w:tr>
      <w:tr w:rsidR="00B27694" w:rsidTr="008D39F9">
        <w:tc>
          <w:tcPr>
            <w:tcW w:w="557" w:type="dxa"/>
          </w:tcPr>
          <w:p w:rsidR="00B27694" w:rsidRDefault="00B27694" w:rsidP="00EB37BF">
            <w:pPr>
              <w:rPr>
                <w:rFonts w:asciiTheme="minorHAnsi" w:hAnsiTheme="minorHAnsi" w:cstheme="minorHAnsi"/>
              </w:rPr>
            </w:pPr>
          </w:p>
        </w:tc>
        <w:tc>
          <w:tcPr>
            <w:tcW w:w="3485" w:type="dxa"/>
          </w:tcPr>
          <w:p w:rsidR="00B27694" w:rsidRDefault="00B27694" w:rsidP="00EB37BF">
            <w:pPr>
              <w:rPr>
                <w:rFonts w:asciiTheme="minorHAnsi" w:hAnsiTheme="minorHAnsi" w:cstheme="minorHAnsi"/>
              </w:rPr>
            </w:pPr>
            <w:r>
              <w:rPr>
                <w:rFonts w:asciiTheme="minorHAnsi" w:hAnsiTheme="minorHAnsi" w:cstheme="minorHAnsi"/>
              </w:rPr>
              <w:t>Pedagogisk Psykologisk Tjeneste</w:t>
            </w:r>
          </w:p>
        </w:tc>
        <w:tc>
          <w:tcPr>
            <w:tcW w:w="278" w:type="dxa"/>
            <w:tcBorders>
              <w:top w:val="nil"/>
              <w:bottom w:val="nil"/>
            </w:tcBorders>
          </w:tcPr>
          <w:p w:rsidR="00B27694" w:rsidRDefault="00B27694" w:rsidP="00EB37BF">
            <w:pPr>
              <w:rPr>
                <w:rFonts w:asciiTheme="minorHAnsi" w:hAnsiTheme="minorHAnsi" w:cstheme="minorHAnsi"/>
              </w:rPr>
            </w:pPr>
          </w:p>
        </w:tc>
        <w:tc>
          <w:tcPr>
            <w:tcW w:w="508" w:type="dxa"/>
          </w:tcPr>
          <w:p w:rsidR="00B27694" w:rsidRDefault="00B27694" w:rsidP="00EB37BF">
            <w:pPr>
              <w:rPr>
                <w:rFonts w:asciiTheme="minorHAnsi" w:hAnsiTheme="minorHAnsi" w:cstheme="minorHAnsi"/>
              </w:rPr>
            </w:pPr>
          </w:p>
        </w:tc>
        <w:tc>
          <w:tcPr>
            <w:tcW w:w="3113" w:type="dxa"/>
          </w:tcPr>
          <w:p w:rsidR="00B27694" w:rsidRDefault="00B27694" w:rsidP="00EB37BF">
            <w:pPr>
              <w:rPr>
                <w:rFonts w:asciiTheme="minorHAnsi" w:hAnsiTheme="minorHAnsi" w:cstheme="minorHAnsi"/>
              </w:rPr>
            </w:pPr>
            <w:r>
              <w:rPr>
                <w:rFonts w:asciiTheme="minorHAnsi" w:hAnsiTheme="minorHAnsi" w:cstheme="minorHAnsi"/>
              </w:rPr>
              <w:t>Fastlege</w:t>
            </w:r>
          </w:p>
        </w:tc>
      </w:tr>
      <w:tr w:rsidR="00B27694" w:rsidTr="008D39F9">
        <w:tc>
          <w:tcPr>
            <w:tcW w:w="557" w:type="dxa"/>
          </w:tcPr>
          <w:p w:rsidR="00B27694" w:rsidRDefault="00B27694" w:rsidP="00EB37BF">
            <w:pPr>
              <w:rPr>
                <w:rFonts w:asciiTheme="minorHAnsi" w:hAnsiTheme="minorHAnsi" w:cstheme="minorHAnsi"/>
              </w:rPr>
            </w:pPr>
          </w:p>
        </w:tc>
        <w:tc>
          <w:tcPr>
            <w:tcW w:w="3485" w:type="dxa"/>
          </w:tcPr>
          <w:p w:rsidR="00B27694" w:rsidRDefault="00B27694" w:rsidP="00EB37BF">
            <w:pPr>
              <w:rPr>
                <w:rFonts w:asciiTheme="minorHAnsi" w:hAnsiTheme="minorHAnsi" w:cstheme="minorHAnsi"/>
              </w:rPr>
            </w:pPr>
            <w:r>
              <w:rPr>
                <w:rFonts w:asciiTheme="minorHAnsi" w:hAnsiTheme="minorHAnsi" w:cstheme="minorHAnsi"/>
              </w:rPr>
              <w:t>Helsestasjon/Skolehelsetjeneste</w:t>
            </w:r>
          </w:p>
        </w:tc>
        <w:tc>
          <w:tcPr>
            <w:tcW w:w="278" w:type="dxa"/>
            <w:tcBorders>
              <w:top w:val="nil"/>
              <w:bottom w:val="nil"/>
            </w:tcBorders>
          </w:tcPr>
          <w:p w:rsidR="00B27694" w:rsidRDefault="00B27694" w:rsidP="00EB37BF">
            <w:pPr>
              <w:rPr>
                <w:rFonts w:asciiTheme="minorHAnsi" w:hAnsiTheme="minorHAnsi" w:cstheme="minorHAnsi"/>
              </w:rPr>
            </w:pPr>
          </w:p>
        </w:tc>
        <w:tc>
          <w:tcPr>
            <w:tcW w:w="508" w:type="dxa"/>
          </w:tcPr>
          <w:p w:rsidR="00B27694" w:rsidRDefault="00B27694" w:rsidP="00EB37BF">
            <w:pPr>
              <w:rPr>
                <w:rFonts w:asciiTheme="minorHAnsi" w:hAnsiTheme="minorHAnsi" w:cstheme="minorHAnsi"/>
              </w:rPr>
            </w:pPr>
          </w:p>
        </w:tc>
        <w:tc>
          <w:tcPr>
            <w:tcW w:w="3113" w:type="dxa"/>
          </w:tcPr>
          <w:p w:rsidR="00B27694" w:rsidRDefault="00B27694" w:rsidP="00EB37BF">
            <w:pPr>
              <w:rPr>
                <w:rFonts w:asciiTheme="minorHAnsi" w:hAnsiTheme="minorHAnsi" w:cstheme="minorHAnsi"/>
              </w:rPr>
            </w:pPr>
            <w:proofErr w:type="spellStart"/>
            <w:r>
              <w:rPr>
                <w:rFonts w:asciiTheme="minorHAnsi" w:hAnsiTheme="minorHAnsi" w:cstheme="minorHAnsi"/>
              </w:rPr>
              <w:t>Habiliteringstjenesten</w:t>
            </w:r>
            <w:proofErr w:type="spellEnd"/>
          </w:p>
        </w:tc>
      </w:tr>
      <w:tr w:rsidR="00B27694" w:rsidTr="008D39F9">
        <w:tc>
          <w:tcPr>
            <w:tcW w:w="557" w:type="dxa"/>
          </w:tcPr>
          <w:p w:rsidR="00B27694" w:rsidRDefault="00B27694" w:rsidP="00EB37BF">
            <w:pPr>
              <w:rPr>
                <w:rFonts w:asciiTheme="minorHAnsi" w:hAnsiTheme="minorHAnsi" w:cstheme="minorHAnsi"/>
              </w:rPr>
            </w:pPr>
          </w:p>
        </w:tc>
        <w:tc>
          <w:tcPr>
            <w:tcW w:w="3485" w:type="dxa"/>
          </w:tcPr>
          <w:p w:rsidR="00B27694" w:rsidRDefault="00B27694" w:rsidP="00EB37BF">
            <w:pPr>
              <w:rPr>
                <w:rFonts w:asciiTheme="minorHAnsi" w:hAnsiTheme="minorHAnsi" w:cstheme="minorHAnsi"/>
              </w:rPr>
            </w:pPr>
            <w:r>
              <w:rPr>
                <w:rFonts w:asciiTheme="minorHAnsi" w:hAnsiTheme="minorHAnsi" w:cstheme="minorHAnsi"/>
              </w:rPr>
              <w:t>Fastlege</w:t>
            </w:r>
          </w:p>
        </w:tc>
        <w:tc>
          <w:tcPr>
            <w:tcW w:w="278" w:type="dxa"/>
            <w:tcBorders>
              <w:top w:val="nil"/>
              <w:bottom w:val="nil"/>
            </w:tcBorders>
          </w:tcPr>
          <w:p w:rsidR="00B27694" w:rsidRDefault="00B27694" w:rsidP="00EB37BF">
            <w:pPr>
              <w:rPr>
                <w:rFonts w:asciiTheme="minorHAnsi" w:hAnsiTheme="minorHAnsi" w:cstheme="minorHAnsi"/>
              </w:rPr>
            </w:pPr>
          </w:p>
        </w:tc>
        <w:tc>
          <w:tcPr>
            <w:tcW w:w="508" w:type="dxa"/>
          </w:tcPr>
          <w:p w:rsidR="00B27694" w:rsidRDefault="00B27694" w:rsidP="00EB37BF">
            <w:pPr>
              <w:rPr>
                <w:rFonts w:asciiTheme="minorHAnsi" w:hAnsiTheme="minorHAnsi" w:cstheme="minorHAnsi"/>
              </w:rPr>
            </w:pPr>
          </w:p>
        </w:tc>
        <w:tc>
          <w:tcPr>
            <w:tcW w:w="3113" w:type="dxa"/>
          </w:tcPr>
          <w:p w:rsidR="00B27694" w:rsidRDefault="00B27694" w:rsidP="00EB37BF">
            <w:pPr>
              <w:rPr>
                <w:rFonts w:asciiTheme="minorHAnsi" w:hAnsiTheme="minorHAnsi" w:cstheme="minorHAnsi"/>
              </w:rPr>
            </w:pPr>
            <w:r>
              <w:rPr>
                <w:rFonts w:asciiTheme="minorHAnsi" w:hAnsiTheme="minorHAnsi" w:cstheme="minorHAnsi"/>
              </w:rPr>
              <w:t>Jordmor/Helsestasjon</w:t>
            </w:r>
          </w:p>
        </w:tc>
      </w:tr>
      <w:tr w:rsidR="00B27694" w:rsidTr="008D39F9">
        <w:tc>
          <w:tcPr>
            <w:tcW w:w="557" w:type="dxa"/>
          </w:tcPr>
          <w:p w:rsidR="00B27694" w:rsidRDefault="00B27694" w:rsidP="00EB37BF">
            <w:pPr>
              <w:rPr>
                <w:rFonts w:asciiTheme="minorHAnsi" w:hAnsiTheme="minorHAnsi" w:cstheme="minorHAnsi"/>
              </w:rPr>
            </w:pPr>
          </w:p>
        </w:tc>
        <w:tc>
          <w:tcPr>
            <w:tcW w:w="3485" w:type="dxa"/>
          </w:tcPr>
          <w:p w:rsidR="00B27694" w:rsidRDefault="00B27694" w:rsidP="00EB37BF">
            <w:pPr>
              <w:rPr>
                <w:rFonts w:asciiTheme="minorHAnsi" w:hAnsiTheme="minorHAnsi" w:cstheme="minorHAnsi"/>
              </w:rPr>
            </w:pPr>
            <w:r>
              <w:rPr>
                <w:rFonts w:asciiTheme="minorHAnsi" w:hAnsiTheme="minorHAnsi" w:cstheme="minorHAnsi"/>
              </w:rPr>
              <w:t>Barneverntjenesten</w:t>
            </w:r>
          </w:p>
        </w:tc>
        <w:tc>
          <w:tcPr>
            <w:tcW w:w="278" w:type="dxa"/>
            <w:tcBorders>
              <w:top w:val="nil"/>
              <w:bottom w:val="nil"/>
            </w:tcBorders>
          </w:tcPr>
          <w:p w:rsidR="00B27694" w:rsidRDefault="00B27694" w:rsidP="00EB37BF">
            <w:pPr>
              <w:rPr>
                <w:rFonts w:asciiTheme="minorHAnsi" w:hAnsiTheme="minorHAnsi" w:cstheme="minorHAnsi"/>
              </w:rPr>
            </w:pPr>
          </w:p>
        </w:tc>
        <w:tc>
          <w:tcPr>
            <w:tcW w:w="508" w:type="dxa"/>
          </w:tcPr>
          <w:p w:rsidR="00B27694" w:rsidRDefault="00B27694" w:rsidP="00EB37BF">
            <w:pPr>
              <w:rPr>
                <w:rFonts w:asciiTheme="minorHAnsi" w:hAnsiTheme="minorHAnsi" w:cstheme="minorHAnsi"/>
              </w:rPr>
            </w:pPr>
          </w:p>
        </w:tc>
        <w:tc>
          <w:tcPr>
            <w:tcW w:w="3113" w:type="dxa"/>
          </w:tcPr>
          <w:p w:rsidR="00B27694" w:rsidRDefault="00B27694" w:rsidP="00EB37BF">
            <w:pPr>
              <w:rPr>
                <w:rFonts w:asciiTheme="minorHAnsi" w:hAnsiTheme="minorHAnsi" w:cstheme="minorHAnsi"/>
              </w:rPr>
            </w:pPr>
            <w:proofErr w:type="spellStart"/>
            <w:r>
              <w:rPr>
                <w:rFonts w:asciiTheme="minorHAnsi" w:hAnsiTheme="minorHAnsi" w:cstheme="minorHAnsi"/>
              </w:rPr>
              <w:t>Flyktningtjenesten</w:t>
            </w:r>
            <w:proofErr w:type="spellEnd"/>
          </w:p>
        </w:tc>
      </w:tr>
      <w:tr w:rsidR="00B27694" w:rsidTr="008D39F9">
        <w:tc>
          <w:tcPr>
            <w:tcW w:w="557" w:type="dxa"/>
          </w:tcPr>
          <w:p w:rsidR="00B27694" w:rsidRDefault="00B27694" w:rsidP="00EB37BF">
            <w:pPr>
              <w:rPr>
                <w:rFonts w:asciiTheme="minorHAnsi" w:hAnsiTheme="minorHAnsi" w:cstheme="minorHAnsi"/>
              </w:rPr>
            </w:pPr>
          </w:p>
        </w:tc>
        <w:tc>
          <w:tcPr>
            <w:tcW w:w="3485" w:type="dxa"/>
          </w:tcPr>
          <w:p w:rsidR="00B27694" w:rsidRDefault="00B27694" w:rsidP="00EB37BF">
            <w:pPr>
              <w:rPr>
                <w:rFonts w:asciiTheme="minorHAnsi" w:hAnsiTheme="minorHAnsi" w:cstheme="minorHAnsi"/>
              </w:rPr>
            </w:pPr>
            <w:proofErr w:type="spellStart"/>
            <w:r>
              <w:rPr>
                <w:rFonts w:asciiTheme="minorHAnsi" w:hAnsiTheme="minorHAnsi" w:cstheme="minorHAnsi"/>
              </w:rPr>
              <w:t>Flyktningtjenesten</w:t>
            </w:r>
            <w:proofErr w:type="spellEnd"/>
          </w:p>
        </w:tc>
        <w:tc>
          <w:tcPr>
            <w:tcW w:w="278" w:type="dxa"/>
            <w:tcBorders>
              <w:top w:val="nil"/>
              <w:bottom w:val="nil"/>
            </w:tcBorders>
          </w:tcPr>
          <w:p w:rsidR="00B27694" w:rsidRDefault="00B27694" w:rsidP="00EB37BF">
            <w:pPr>
              <w:rPr>
                <w:rFonts w:asciiTheme="minorHAnsi" w:hAnsiTheme="minorHAnsi" w:cstheme="minorHAnsi"/>
              </w:rPr>
            </w:pPr>
          </w:p>
        </w:tc>
        <w:tc>
          <w:tcPr>
            <w:tcW w:w="508" w:type="dxa"/>
          </w:tcPr>
          <w:p w:rsidR="00B27694" w:rsidRPr="00422A42" w:rsidRDefault="00B27694" w:rsidP="00EB37BF">
            <w:pPr>
              <w:rPr>
                <w:rFonts w:asciiTheme="minorHAnsi" w:hAnsiTheme="minorHAnsi" w:cstheme="minorHAnsi"/>
              </w:rPr>
            </w:pPr>
          </w:p>
        </w:tc>
        <w:tc>
          <w:tcPr>
            <w:tcW w:w="3113" w:type="dxa"/>
          </w:tcPr>
          <w:p w:rsidR="00B27694" w:rsidRPr="00422A42" w:rsidRDefault="00B27694" w:rsidP="00EB37BF">
            <w:pPr>
              <w:rPr>
                <w:rFonts w:asciiTheme="minorHAnsi" w:hAnsiTheme="minorHAnsi" w:cstheme="minorHAnsi"/>
              </w:rPr>
            </w:pPr>
            <w:r w:rsidRPr="00422A42">
              <w:rPr>
                <w:rFonts w:asciiTheme="minorHAnsi" w:hAnsiTheme="minorHAnsi" w:cstheme="minorHAnsi"/>
              </w:rPr>
              <w:t>Arbeidsgiver</w:t>
            </w:r>
          </w:p>
        </w:tc>
      </w:tr>
      <w:tr w:rsidR="00B27694" w:rsidTr="008D39F9">
        <w:tc>
          <w:tcPr>
            <w:tcW w:w="557" w:type="dxa"/>
          </w:tcPr>
          <w:p w:rsidR="00B27694" w:rsidRDefault="00B27694" w:rsidP="00EB37BF">
            <w:pPr>
              <w:rPr>
                <w:rFonts w:asciiTheme="minorHAnsi" w:hAnsiTheme="minorHAnsi" w:cstheme="minorHAnsi"/>
              </w:rPr>
            </w:pPr>
          </w:p>
        </w:tc>
        <w:tc>
          <w:tcPr>
            <w:tcW w:w="3485" w:type="dxa"/>
          </w:tcPr>
          <w:p w:rsidR="00B27694" w:rsidRDefault="00B27694" w:rsidP="00EB37BF">
            <w:pPr>
              <w:rPr>
                <w:rFonts w:asciiTheme="minorHAnsi" w:hAnsiTheme="minorHAnsi" w:cstheme="minorHAnsi"/>
              </w:rPr>
            </w:pPr>
            <w:r>
              <w:rPr>
                <w:rFonts w:asciiTheme="minorHAnsi" w:hAnsiTheme="minorHAnsi" w:cstheme="minorHAnsi"/>
              </w:rPr>
              <w:t xml:space="preserve">Andre: </w:t>
            </w:r>
          </w:p>
        </w:tc>
        <w:tc>
          <w:tcPr>
            <w:tcW w:w="278" w:type="dxa"/>
            <w:tcBorders>
              <w:top w:val="nil"/>
              <w:bottom w:val="nil"/>
            </w:tcBorders>
          </w:tcPr>
          <w:p w:rsidR="00B27694" w:rsidRDefault="00B27694" w:rsidP="00EB37BF">
            <w:pPr>
              <w:rPr>
                <w:rFonts w:asciiTheme="minorHAnsi" w:hAnsiTheme="minorHAnsi" w:cstheme="minorHAnsi"/>
              </w:rPr>
            </w:pPr>
          </w:p>
        </w:tc>
        <w:tc>
          <w:tcPr>
            <w:tcW w:w="508" w:type="dxa"/>
          </w:tcPr>
          <w:p w:rsidR="00B27694" w:rsidRDefault="00B27694" w:rsidP="00EB37BF">
            <w:pPr>
              <w:rPr>
                <w:rFonts w:asciiTheme="minorHAnsi" w:hAnsiTheme="minorHAnsi" w:cstheme="minorHAnsi"/>
              </w:rPr>
            </w:pPr>
          </w:p>
        </w:tc>
        <w:tc>
          <w:tcPr>
            <w:tcW w:w="3113" w:type="dxa"/>
          </w:tcPr>
          <w:p w:rsidR="00B27694" w:rsidRDefault="00B27694" w:rsidP="00EB37BF">
            <w:pPr>
              <w:rPr>
                <w:rFonts w:asciiTheme="minorHAnsi" w:hAnsiTheme="minorHAnsi" w:cstheme="minorHAnsi"/>
              </w:rPr>
            </w:pPr>
            <w:r>
              <w:rPr>
                <w:rFonts w:asciiTheme="minorHAnsi" w:hAnsiTheme="minorHAnsi" w:cstheme="minorHAnsi"/>
              </w:rPr>
              <w:t>Andre:</w:t>
            </w:r>
          </w:p>
        </w:tc>
      </w:tr>
      <w:tr w:rsidR="00B27694" w:rsidTr="008D39F9">
        <w:tc>
          <w:tcPr>
            <w:tcW w:w="557" w:type="dxa"/>
          </w:tcPr>
          <w:p w:rsidR="00B27694" w:rsidRDefault="00B27694" w:rsidP="00EB37BF">
            <w:pPr>
              <w:rPr>
                <w:rFonts w:asciiTheme="minorHAnsi" w:hAnsiTheme="minorHAnsi" w:cstheme="minorHAnsi"/>
              </w:rPr>
            </w:pPr>
          </w:p>
        </w:tc>
        <w:tc>
          <w:tcPr>
            <w:tcW w:w="3485" w:type="dxa"/>
          </w:tcPr>
          <w:p w:rsidR="00B27694" w:rsidRDefault="00B27694" w:rsidP="00EB37BF">
            <w:pPr>
              <w:rPr>
                <w:rFonts w:asciiTheme="minorHAnsi" w:hAnsiTheme="minorHAnsi" w:cstheme="minorHAnsi"/>
              </w:rPr>
            </w:pPr>
          </w:p>
        </w:tc>
        <w:tc>
          <w:tcPr>
            <w:tcW w:w="278" w:type="dxa"/>
            <w:tcBorders>
              <w:top w:val="nil"/>
              <w:bottom w:val="nil"/>
            </w:tcBorders>
          </w:tcPr>
          <w:p w:rsidR="00B27694" w:rsidRDefault="00B27694" w:rsidP="00EB37BF">
            <w:pPr>
              <w:rPr>
                <w:rFonts w:asciiTheme="minorHAnsi" w:hAnsiTheme="minorHAnsi" w:cstheme="minorHAnsi"/>
              </w:rPr>
            </w:pPr>
          </w:p>
        </w:tc>
        <w:tc>
          <w:tcPr>
            <w:tcW w:w="508" w:type="dxa"/>
          </w:tcPr>
          <w:p w:rsidR="00B27694" w:rsidRDefault="00B27694" w:rsidP="00EB37BF">
            <w:pPr>
              <w:rPr>
                <w:rFonts w:asciiTheme="minorHAnsi" w:hAnsiTheme="minorHAnsi" w:cstheme="minorHAnsi"/>
              </w:rPr>
            </w:pPr>
          </w:p>
        </w:tc>
        <w:tc>
          <w:tcPr>
            <w:tcW w:w="3113" w:type="dxa"/>
          </w:tcPr>
          <w:p w:rsidR="00B27694" w:rsidRDefault="00B27694" w:rsidP="00EB37BF">
            <w:pPr>
              <w:rPr>
                <w:rFonts w:asciiTheme="minorHAnsi" w:hAnsiTheme="minorHAnsi" w:cstheme="minorHAnsi"/>
              </w:rPr>
            </w:pPr>
          </w:p>
        </w:tc>
      </w:tr>
    </w:tbl>
    <w:p w:rsidR="008C75EF" w:rsidRDefault="008C75EF" w:rsidP="00D52F18">
      <w:pPr>
        <w:rPr>
          <w:rFonts w:asciiTheme="minorHAnsi" w:hAnsiTheme="minorHAnsi" w:cstheme="minorHAnsi"/>
        </w:rPr>
      </w:pPr>
    </w:p>
    <w:p w:rsidR="008C75EF" w:rsidRDefault="008C75EF" w:rsidP="000C224E">
      <w:pPr>
        <w:autoSpaceDE w:val="0"/>
        <w:autoSpaceDN w:val="0"/>
        <w:adjustRightInd w:val="0"/>
        <w:rPr>
          <w:rFonts w:asciiTheme="minorHAnsi" w:hAnsiTheme="minorHAnsi" w:cstheme="minorHAnsi"/>
          <w:bCs/>
          <w:color w:val="000000"/>
          <w:sz w:val="10"/>
          <w:szCs w:val="10"/>
        </w:rPr>
      </w:pPr>
      <w:r w:rsidRPr="00566AEA">
        <w:rPr>
          <w:rFonts w:asciiTheme="minorHAnsi" w:hAnsiTheme="minorHAnsi" w:cstheme="minorHAnsi"/>
          <w:bCs/>
          <w:color w:val="000000"/>
          <w:szCs w:val="24"/>
        </w:rPr>
        <w:t>Jeg tillater</w:t>
      </w:r>
      <w:r w:rsidR="00671FD0">
        <w:rPr>
          <w:rFonts w:asciiTheme="minorHAnsi" w:hAnsiTheme="minorHAnsi" w:cstheme="minorHAnsi"/>
          <w:bCs/>
          <w:color w:val="000000"/>
          <w:szCs w:val="24"/>
        </w:rPr>
        <w:t xml:space="preserve"> at</w:t>
      </w:r>
      <w:r w:rsidRPr="00566AEA">
        <w:rPr>
          <w:rFonts w:asciiTheme="minorHAnsi" w:hAnsiTheme="minorHAnsi" w:cstheme="minorHAnsi"/>
          <w:bCs/>
          <w:color w:val="000000"/>
          <w:szCs w:val="24"/>
        </w:rPr>
        <w:t xml:space="preserve"> følgende informasjon </w:t>
      </w:r>
      <w:r w:rsidR="00671FD0">
        <w:rPr>
          <w:rFonts w:asciiTheme="minorHAnsi" w:hAnsiTheme="minorHAnsi" w:cstheme="minorHAnsi"/>
          <w:bCs/>
          <w:color w:val="000000"/>
          <w:szCs w:val="24"/>
        </w:rPr>
        <w:t>kan utveksles</w:t>
      </w:r>
      <w:r w:rsidRPr="00566AEA">
        <w:rPr>
          <w:rFonts w:asciiTheme="minorHAnsi" w:hAnsiTheme="minorHAnsi" w:cstheme="minorHAnsi"/>
          <w:bCs/>
          <w:color w:val="000000"/>
          <w:szCs w:val="24"/>
        </w:rPr>
        <w:t xml:space="preserve">: </w:t>
      </w:r>
    </w:p>
    <w:p w:rsidR="000C224E" w:rsidRPr="000C224E" w:rsidRDefault="000C224E" w:rsidP="000C224E">
      <w:pPr>
        <w:autoSpaceDE w:val="0"/>
        <w:autoSpaceDN w:val="0"/>
        <w:adjustRightInd w:val="0"/>
        <w:rPr>
          <w:rFonts w:asciiTheme="minorHAnsi" w:hAnsiTheme="minorHAnsi" w:cstheme="minorHAnsi"/>
          <w:color w:val="000000"/>
          <w:sz w:val="10"/>
          <w:szCs w:val="10"/>
        </w:rPr>
      </w:pPr>
    </w:p>
    <w:p w:rsidR="008C75EF" w:rsidRPr="00511319" w:rsidRDefault="00A620DC" w:rsidP="000C224E">
      <w:pPr>
        <w:pStyle w:val="Listeavsnitt"/>
        <w:numPr>
          <w:ilvl w:val="0"/>
          <w:numId w:val="2"/>
        </w:numPr>
        <w:autoSpaceDE w:val="0"/>
        <w:autoSpaceDN w:val="0"/>
        <w:adjustRightInd w:val="0"/>
        <w:rPr>
          <w:rFonts w:asciiTheme="minorHAnsi" w:hAnsiTheme="minorHAnsi" w:cstheme="minorHAnsi"/>
          <w:color w:val="000000"/>
          <w:szCs w:val="24"/>
        </w:rPr>
      </w:pPr>
      <w:r>
        <w:rPr>
          <w:rFonts w:asciiTheme="minorHAnsi" w:hAnsiTheme="minorHAnsi" w:cstheme="minorHAnsi"/>
          <w:bCs/>
          <w:color w:val="000000"/>
          <w:szCs w:val="24"/>
        </w:rPr>
        <w:t>De</w:t>
      </w:r>
      <w:r w:rsidR="008C75EF" w:rsidRPr="00511319">
        <w:rPr>
          <w:rFonts w:asciiTheme="minorHAnsi" w:hAnsiTheme="minorHAnsi" w:cstheme="minorHAnsi"/>
          <w:bCs/>
          <w:color w:val="000000"/>
          <w:szCs w:val="24"/>
        </w:rPr>
        <w:t xml:space="preserve">t som </w:t>
      </w:r>
      <w:r w:rsidR="008D39F9">
        <w:rPr>
          <w:rFonts w:asciiTheme="minorHAnsi" w:hAnsiTheme="minorHAnsi" w:cstheme="minorHAnsi"/>
          <w:bCs/>
          <w:color w:val="000000"/>
          <w:szCs w:val="24"/>
        </w:rPr>
        <w:t>er</w:t>
      </w:r>
      <w:r w:rsidR="008C75EF" w:rsidRPr="00511319">
        <w:rPr>
          <w:rFonts w:asciiTheme="minorHAnsi" w:hAnsiTheme="minorHAnsi" w:cstheme="minorHAnsi"/>
          <w:bCs/>
          <w:color w:val="000000"/>
          <w:szCs w:val="24"/>
        </w:rPr>
        <w:t xml:space="preserve"> nødvendig </w:t>
      </w:r>
      <w:r w:rsidR="008D39F9">
        <w:rPr>
          <w:rFonts w:asciiTheme="minorHAnsi" w:hAnsiTheme="minorHAnsi" w:cstheme="minorHAnsi"/>
          <w:bCs/>
          <w:color w:val="000000"/>
          <w:szCs w:val="24"/>
        </w:rPr>
        <w:t>og relevant for å gi deg god og helhetlig oppfølging</w:t>
      </w:r>
    </w:p>
    <w:p w:rsidR="008C75EF" w:rsidRPr="00511319" w:rsidRDefault="00FD2DCF" w:rsidP="000C224E">
      <w:pPr>
        <w:pStyle w:val="Listeavsnitt"/>
        <w:numPr>
          <w:ilvl w:val="0"/>
          <w:numId w:val="2"/>
        </w:numPr>
        <w:autoSpaceDE w:val="0"/>
        <w:autoSpaceDN w:val="0"/>
        <w:adjustRightInd w:val="0"/>
        <w:rPr>
          <w:rFonts w:asciiTheme="minorHAnsi" w:hAnsiTheme="minorHAnsi" w:cstheme="minorHAnsi"/>
          <w:color w:val="000000"/>
          <w:szCs w:val="24"/>
        </w:rPr>
      </w:pPr>
      <w:r>
        <w:rPr>
          <w:rFonts w:asciiTheme="minorHAnsi" w:hAnsiTheme="minorHAnsi" w:cstheme="minorHAnsi"/>
          <w:bCs/>
          <w:color w:val="000000"/>
          <w:szCs w:val="24"/>
        </w:rPr>
        <w:t>Begrenset informasjon. Overnevnte instanser</w:t>
      </w:r>
      <w:r w:rsidR="00671FD0">
        <w:rPr>
          <w:rFonts w:asciiTheme="minorHAnsi" w:hAnsiTheme="minorHAnsi" w:cstheme="minorHAnsi"/>
          <w:bCs/>
          <w:color w:val="000000"/>
          <w:szCs w:val="24"/>
        </w:rPr>
        <w:t xml:space="preserve"> kan utveksle informasjon</w:t>
      </w:r>
      <w:r w:rsidR="008C75EF" w:rsidRPr="00511319">
        <w:rPr>
          <w:rFonts w:asciiTheme="minorHAnsi" w:hAnsiTheme="minorHAnsi" w:cstheme="minorHAnsi"/>
          <w:bCs/>
          <w:color w:val="000000"/>
          <w:szCs w:val="24"/>
        </w:rPr>
        <w:t xml:space="preserve"> om: </w:t>
      </w:r>
    </w:p>
    <w:p w:rsidR="008C75EF" w:rsidRDefault="008C75EF" w:rsidP="00296C81">
      <w:pPr>
        <w:rPr>
          <w:rFonts w:asciiTheme="minorHAnsi" w:hAnsiTheme="minorHAnsi" w:cstheme="minorHAnsi"/>
          <w:bCs/>
          <w:color w:val="000000"/>
          <w:szCs w:val="24"/>
        </w:rPr>
      </w:pPr>
      <w:r w:rsidRPr="00566AEA">
        <w:rPr>
          <w:rFonts w:asciiTheme="minorHAnsi" w:hAnsiTheme="minorHAnsi" w:cstheme="minorHAnsi"/>
          <w:bCs/>
          <w:color w:val="000000"/>
          <w:szCs w:val="24"/>
        </w:rPr>
        <w:t>…………………………………………………………………………………………………………………………………………………………………………………………………………………………………………………………………………</w:t>
      </w:r>
      <w:r w:rsidR="00296C81">
        <w:rPr>
          <w:rFonts w:asciiTheme="minorHAnsi" w:hAnsiTheme="minorHAnsi" w:cstheme="minorHAnsi"/>
          <w:bCs/>
          <w:color w:val="000000"/>
          <w:szCs w:val="24"/>
        </w:rPr>
        <w:t>......................</w:t>
      </w:r>
    </w:p>
    <w:p w:rsidR="00511319" w:rsidRPr="00566AEA" w:rsidRDefault="00511319" w:rsidP="008C75EF">
      <w:pPr>
        <w:ind w:left="708"/>
        <w:rPr>
          <w:rFonts w:asciiTheme="minorHAnsi" w:hAnsiTheme="minorHAnsi" w:cstheme="minorHAnsi"/>
          <w:bCs/>
        </w:rPr>
      </w:pPr>
    </w:p>
    <w:p w:rsidR="00D52F18" w:rsidRDefault="00D52F18" w:rsidP="00F17810">
      <w:pPr>
        <w:pBdr>
          <w:top w:val="single" w:sz="4" w:space="1" w:color="auto"/>
          <w:left w:val="single" w:sz="4" w:space="4" w:color="auto"/>
          <w:bottom w:val="single" w:sz="4" w:space="1" w:color="auto"/>
          <w:right w:val="single" w:sz="4" w:space="4" w:color="auto"/>
        </w:pBdr>
        <w:shd w:val="clear" w:color="auto" w:fill="BDD6EE" w:themeFill="accent1" w:themeFillTint="66"/>
        <w:rPr>
          <w:rFonts w:asciiTheme="minorHAnsi" w:hAnsiTheme="minorHAnsi" w:cstheme="minorHAnsi"/>
          <w:b/>
        </w:rPr>
      </w:pPr>
      <w:r w:rsidRPr="00566AEA">
        <w:rPr>
          <w:rFonts w:asciiTheme="minorHAnsi" w:hAnsiTheme="minorHAnsi" w:cstheme="minorHAnsi"/>
          <w:b/>
        </w:rPr>
        <w:t xml:space="preserve">Dette samtykket gjelder frem </w:t>
      </w:r>
      <w:proofErr w:type="gramStart"/>
      <w:r w:rsidRPr="00566AEA">
        <w:rPr>
          <w:rFonts w:asciiTheme="minorHAnsi" w:hAnsiTheme="minorHAnsi" w:cstheme="minorHAnsi"/>
          <w:b/>
        </w:rPr>
        <w:t>til…</w:t>
      </w:r>
      <w:proofErr w:type="gramEnd"/>
      <w:r w:rsidRPr="00566AEA">
        <w:rPr>
          <w:rFonts w:asciiTheme="minorHAnsi" w:hAnsiTheme="minorHAnsi" w:cstheme="minorHAnsi"/>
          <w:b/>
        </w:rPr>
        <w:t xml:space="preserve">………………………., eller til jeg trekker samtykket tilbake. </w:t>
      </w:r>
    </w:p>
    <w:p w:rsidR="00BD39EB" w:rsidRPr="00671FD0" w:rsidRDefault="00BD39EB" w:rsidP="00F17810">
      <w:pPr>
        <w:pBdr>
          <w:top w:val="single" w:sz="4" w:space="1" w:color="auto"/>
          <w:left w:val="single" w:sz="4" w:space="4" w:color="auto"/>
          <w:bottom w:val="single" w:sz="4" w:space="1" w:color="auto"/>
          <w:right w:val="single" w:sz="4" w:space="4" w:color="auto"/>
        </w:pBdr>
        <w:shd w:val="clear" w:color="auto" w:fill="BDD6EE" w:themeFill="accent1" w:themeFillTint="66"/>
        <w:rPr>
          <w:rFonts w:asciiTheme="minorHAnsi" w:hAnsiTheme="minorHAnsi" w:cstheme="minorHAnsi"/>
          <w:i/>
          <w:sz w:val="12"/>
          <w:szCs w:val="16"/>
        </w:rPr>
      </w:pPr>
      <w:r w:rsidRPr="00671FD0">
        <w:rPr>
          <w:rFonts w:asciiTheme="minorHAnsi" w:hAnsiTheme="minorHAnsi" w:cstheme="minorHAnsi"/>
          <w:i/>
          <w:sz w:val="20"/>
        </w:rPr>
        <w:t>Samtykke bør ikke gis for mer enn ett år dersom opplysningene som deles er svært sensitive. Skjer det store endringer av forutsetningene for å dele opplysninger, bør det alltid innhentes nytt samtykke.</w:t>
      </w:r>
    </w:p>
    <w:p w:rsidR="00D52F18" w:rsidRPr="00566AEA" w:rsidRDefault="00D52F18" w:rsidP="00D52F18">
      <w:pPr>
        <w:rPr>
          <w:rFonts w:asciiTheme="minorHAnsi" w:hAnsiTheme="minorHAnsi" w:cstheme="minorHAnsi"/>
        </w:rPr>
      </w:pPr>
    </w:p>
    <w:p w:rsidR="00F17810" w:rsidRDefault="00F17810" w:rsidP="00F17810">
      <w:pPr>
        <w:rPr>
          <w:rFonts w:asciiTheme="minorHAnsi" w:hAnsiTheme="minorHAnsi" w:cstheme="minorHAnsi"/>
        </w:rPr>
      </w:pPr>
      <w:proofErr w:type="gramStart"/>
      <w:r>
        <w:rPr>
          <w:rFonts w:asciiTheme="minorHAnsi" w:hAnsiTheme="minorHAnsi" w:cstheme="minorHAnsi"/>
        </w:rPr>
        <w:t>Dato:…</w:t>
      </w:r>
      <w:proofErr w:type="gramEnd"/>
      <w:r>
        <w:rPr>
          <w:rFonts w:asciiTheme="minorHAnsi" w:hAnsiTheme="minorHAnsi" w:cstheme="minorHAnsi"/>
        </w:rPr>
        <w:t>…………</w:t>
      </w:r>
      <w:r w:rsidR="00A32130">
        <w:rPr>
          <w:rFonts w:asciiTheme="minorHAnsi" w:hAnsiTheme="minorHAnsi" w:cstheme="minorHAnsi"/>
        </w:rPr>
        <w:t>..........</w:t>
      </w:r>
      <w:r>
        <w:rPr>
          <w:rFonts w:asciiTheme="minorHAnsi" w:hAnsiTheme="minorHAnsi" w:cstheme="minorHAnsi"/>
        </w:rPr>
        <w:t xml:space="preserve"> </w:t>
      </w:r>
      <w:r w:rsidR="00A32130">
        <w:rPr>
          <w:rFonts w:asciiTheme="minorHAnsi" w:hAnsiTheme="minorHAnsi" w:cstheme="minorHAnsi"/>
        </w:rPr>
        <w:tab/>
      </w:r>
      <w:r w:rsidR="00A32130">
        <w:rPr>
          <w:rFonts w:asciiTheme="minorHAnsi" w:hAnsiTheme="minorHAnsi" w:cstheme="minorHAnsi"/>
        </w:rPr>
        <w:tab/>
      </w:r>
      <w:proofErr w:type="gramStart"/>
      <w:r w:rsidR="00A32130">
        <w:rPr>
          <w:rFonts w:asciiTheme="minorHAnsi" w:hAnsiTheme="minorHAnsi" w:cstheme="minorHAnsi"/>
        </w:rPr>
        <w:t>Dato:........................</w:t>
      </w:r>
      <w:proofErr w:type="gramEnd"/>
      <w:r w:rsidR="00A32130">
        <w:rPr>
          <w:rFonts w:asciiTheme="minorHAnsi" w:hAnsiTheme="minorHAnsi" w:cstheme="minorHAnsi"/>
        </w:rPr>
        <w:tab/>
      </w:r>
      <w:r w:rsidR="00A32130">
        <w:rPr>
          <w:rFonts w:asciiTheme="minorHAnsi" w:hAnsiTheme="minorHAnsi" w:cstheme="minorHAnsi"/>
        </w:rPr>
        <w:tab/>
      </w:r>
      <w:r w:rsidR="00A32130">
        <w:rPr>
          <w:rFonts w:asciiTheme="minorHAnsi" w:hAnsiTheme="minorHAnsi" w:cstheme="minorHAnsi"/>
        </w:rPr>
        <w:tab/>
      </w:r>
      <w:proofErr w:type="gramStart"/>
      <w:r w:rsidR="00A32130">
        <w:rPr>
          <w:rFonts w:asciiTheme="minorHAnsi" w:hAnsiTheme="minorHAnsi" w:cstheme="minorHAnsi"/>
        </w:rPr>
        <w:t>Dato:........................</w:t>
      </w:r>
      <w:proofErr w:type="gramEnd"/>
    </w:p>
    <w:p w:rsidR="00F17810" w:rsidRDefault="00F17810" w:rsidP="00F17810">
      <w:pPr>
        <w:rPr>
          <w:rFonts w:asciiTheme="minorHAnsi" w:hAnsiTheme="minorHAnsi" w:cstheme="minorHAnsi"/>
        </w:rPr>
      </w:pPr>
    </w:p>
    <w:p w:rsidR="00F17810" w:rsidRDefault="00D52F18" w:rsidP="00F17810">
      <w:pPr>
        <w:rPr>
          <w:rFonts w:asciiTheme="minorHAnsi" w:hAnsiTheme="minorHAnsi" w:cstheme="minorHAnsi"/>
        </w:rPr>
      </w:pPr>
      <w:r w:rsidRPr="00566AEA">
        <w:rPr>
          <w:rFonts w:asciiTheme="minorHAnsi" w:hAnsiTheme="minorHAnsi" w:cstheme="minorHAnsi"/>
        </w:rPr>
        <w:t>…………………………………</w:t>
      </w:r>
      <w:r w:rsidR="00A32130">
        <w:rPr>
          <w:rFonts w:asciiTheme="minorHAnsi" w:hAnsiTheme="minorHAnsi" w:cstheme="minorHAnsi"/>
        </w:rPr>
        <w:t>......</w:t>
      </w:r>
      <w:r w:rsidR="00A32130">
        <w:rPr>
          <w:rFonts w:asciiTheme="minorHAnsi" w:hAnsiTheme="minorHAnsi" w:cstheme="minorHAnsi"/>
        </w:rPr>
        <w:tab/>
        <w:t>……………………………………</w:t>
      </w:r>
      <w:r w:rsidR="00A32130">
        <w:rPr>
          <w:rFonts w:asciiTheme="minorHAnsi" w:hAnsiTheme="minorHAnsi" w:cstheme="minorHAnsi"/>
        </w:rPr>
        <w:tab/>
      </w:r>
      <w:r w:rsidR="00A32130">
        <w:rPr>
          <w:rFonts w:asciiTheme="minorHAnsi" w:hAnsiTheme="minorHAnsi" w:cstheme="minorHAnsi"/>
        </w:rPr>
        <w:tab/>
        <w:t>............................................</w:t>
      </w:r>
    </w:p>
    <w:p w:rsidR="00A32130" w:rsidRPr="00A32130" w:rsidRDefault="00A32130" w:rsidP="00A32130">
      <w:pPr>
        <w:rPr>
          <w:rFonts w:asciiTheme="minorHAnsi" w:hAnsiTheme="minorHAnsi" w:cstheme="minorHAnsi"/>
          <w:sz w:val="20"/>
        </w:rPr>
      </w:pPr>
      <w:r w:rsidRPr="00A32130">
        <w:rPr>
          <w:rFonts w:asciiTheme="minorHAnsi" w:hAnsiTheme="minorHAnsi" w:cstheme="minorHAnsi"/>
          <w:sz w:val="20"/>
        </w:rPr>
        <w:t xml:space="preserve">Bruker </w:t>
      </w:r>
      <w:r w:rsidR="00826398" w:rsidRPr="006917AC">
        <w:rPr>
          <w:rFonts w:asciiTheme="minorHAnsi" w:hAnsiTheme="minorHAnsi" w:cstheme="minorHAnsi"/>
          <w:sz w:val="20"/>
        </w:rPr>
        <w:t>(se baksiden om alder)</w:t>
      </w:r>
      <w:r w:rsidRPr="00A32130">
        <w:rPr>
          <w:rFonts w:asciiTheme="minorHAnsi" w:hAnsiTheme="minorHAnsi" w:cstheme="minorHAnsi"/>
          <w:sz w:val="20"/>
        </w:rPr>
        <w:tab/>
      </w:r>
      <w:r w:rsidR="00882F7B">
        <w:rPr>
          <w:rFonts w:asciiTheme="minorHAnsi" w:hAnsiTheme="minorHAnsi" w:cstheme="minorHAnsi"/>
          <w:sz w:val="20"/>
        </w:rPr>
        <w:t>F</w:t>
      </w:r>
      <w:r w:rsidRPr="00A32130">
        <w:rPr>
          <w:rFonts w:asciiTheme="minorHAnsi" w:hAnsiTheme="minorHAnsi" w:cstheme="minorHAnsi"/>
          <w:sz w:val="20"/>
        </w:rPr>
        <w:t>oresatt (for barn/unge u. 18)</w:t>
      </w:r>
      <w:r w:rsidRPr="00A32130">
        <w:rPr>
          <w:rFonts w:asciiTheme="minorHAnsi" w:hAnsiTheme="minorHAnsi" w:cstheme="minorHAnsi"/>
          <w:sz w:val="20"/>
        </w:rPr>
        <w:tab/>
      </w:r>
      <w:r>
        <w:rPr>
          <w:rFonts w:asciiTheme="minorHAnsi" w:hAnsiTheme="minorHAnsi" w:cstheme="minorHAnsi"/>
          <w:sz w:val="20"/>
        </w:rPr>
        <w:tab/>
      </w:r>
      <w:r w:rsidR="00882F7B">
        <w:rPr>
          <w:rFonts w:asciiTheme="minorHAnsi" w:hAnsiTheme="minorHAnsi" w:cstheme="minorHAnsi"/>
          <w:sz w:val="20"/>
        </w:rPr>
        <w:t>F</w:t>
      </w:r>
      <w:r w:rsidRPr="00A32130">
        <w:rPr>
          <w:rFonts w:asciiTheme="minorHAnsi" w:hAnsiTheme="minorHAnsi" w:cstheme="minorHAnsi"/>
          <w:sz w:val="20"/>
        </w:rPr>
        <w:t>oresatt (for barn/unge u. 18)</w:t>
      </w:r>
    </w:p>
    <w:p w:rsidR="00D52F18" w:rsidRPr="00566AEA" w:rsidRDefault="00D52F18" w:rsidP="00D52F18">
      <w:pPr>
        <w:rPr>
          <w:rFonts w:asciiTheme="minorHAnsi" w:hAnsiTheme="minorHAnsi" w:cstheme="minorHAnsi"/>
        </w:rPr>
      </w:pPr>
    </w:p>
    <w:p w:rsidR="00511319" w:rsidRPr="00542CCD" w:rsidRDefault="00D52F18" w:rsidP="00D52F18">
      <w:pPr>
        <w:rPr>
          <w:rFonts w:asciiTheme="minorHAnsi" w:hAnsiTheme="minorHAnsi" w:cstheme="minorHAnsi"/>
          <w:sz w:val="18"/>
          <w:szCs w:val="16"/>
        </w:rPr>
      </w:pPr>
      <w:r w:rsidRPr="00566AEA">
        <w:rPr>
          <w:rFonts w:asciiTheme="minorHAnsi" w:hAnsiTheme="minorHAnsi" w:cstheme="minorHAnsi"/>
        </w:rPr>
        <w:t xml:space="preserve">Samtykket er </w:t>
      </w:r>
      <w:r w:rsidR="00511319">
        <w:rPr>
          <w:rFonts w:asciiTheme="minorHAnsi" w:hAnsiTheme="minorHAnsi" w:cstheme="minorHAnsi"/>
        </w:rPr>
        <w:t>innhentet</w:t>
      </w:r>
      <w:r w:rsidRPr="00566AEA">
        <w:rPr>
          <w:rFonts w:asciiTheme="minorHAnsi" w:hAnsiTheme="minorHAnsi" w:cstheme="minorHAnsi"/>
        </w:rPr>
        <w:t xml:space="preserve"> av: ……………………………………………………………</w:t>
      </w:r>
      <w:r w:rsidR="00511319">
        <w:rPr>
          <w:rFonts w:asciiTheme="minorHAnsi" w:hAnsiTheme="minorHAnsi" w:cstheme="minorHAnsi"/>
        </w:rPr>
        <w:tab/>
      </w:r>
      <w:r w:rsidR="00511319">
        <w:rPr>
          <w:rFonts w:asciiTheme="minorHAnsi" w:hAnsiTheme="minorHAnsi" w:cstheme="minorHAnsi"/>
        </w:rPr>
        <w:tab/>
      </w:r>
      <w:r w:rsidR="00511319">
        <w:rPr>
          <w:rFonts w:asciiTheme="minorHAnsi" w:hAnsiTheme="minorHAnsi" w:cstheme="minorHAnsi"/>
        </w:rPr>
        <w:tab/>
      </w:r>
      <w:r w:rsidR="00511319">
        <w:rPr>
          <w:rFonts w:asciiTheme="minorHAnsi" w:hAnsiTheme="minorHAnsi" w:cstheme="minorHAnsi"/>
        </w:rPr>
        <w:tab/>
      </w:r>
      <w:r w:rsidR="00511319">
        <w:rPr>
          <w:rFonts w:asciiTheme="minorHAnsi" w:hAnsiTheme="minorHAnsi" w:cstheme="minorHAnsi"/>
        </w:rPr>
        <w:tab/>
      </w:r>
      <w:r w:rsidR="00B27694">
        <w:rPr>
          <w:rFonts w:asciiTheme="minorHAnsi" w:hAnsiTheme="minorHAnsi" w:cstheme="minorHAnsi"/>
        </w:rPr>
        <w:tab/>
      </w:r>
      <w:r w:rsidR="00B27694">
        <w:rPr>
          <w:rFonts w:asciiTheme="minorHAnsi" w:hAnsiTheme="minorHAnsi" w:cstheme="minorHAnsi"/>
        </w:rPr>
        <w:tab/>
      </w:r>
      <w:r w:rsidR="00B27694">
        <w:rPr>
          <w:rFonts w:asciiTheme="minorHAnsi" w:hAnsiTheme="minorHAnsi" w:cstheme="minorHAnsi"/>
        </w:rPr>
        <w:tab/>
      </w:r>
      <w:r w:rsidR="00511319" w:rsidRPr="00542CCD">
        <w:rPr>
          <w:rFonts w:asciiTheme="minorHAnsi" w:hAnsiTheme="minorHAnsi" w:cstheme="minorHAnsi"/>
          <w:sz w:val="18"/>
          <w:szCs w:val="16"/>
        </w:rPr>
        <w:t xml:space="preserve">(kommunens </w:t>
      </w:r>
      <w:proofErr w:type="spellStart"/>
      <w:r w:rsidR="00511319" w:rsidRPr="00542CCD">
        <w:rPr>
          <w:rFonts w:asciiTheme="minorHAnsi" w:hAnsiTheme="minorHAnsi" w:cstheme="minorHAnsi"/>
          <w:sz w:val="18"/>
          <w:szCs w:val="16"/>
        </w:rPr>
        <w:t>ansatt</w:t>
      </w:r>
      <w:proofErr w:type="spellEnd"/>
      <w:r w:rsidR="00511319" w:rsidRPr="00542CCD">
        <w:rPr>
          <w:rFonts w:asciiTheme="minorHAnsi" w:hAnsiTheme="minorHAnsi" w:cstheme="minorHAnsi"/>
          <w:sz w:val="18"/>
          <w:szCs w:val="16"/>
        </w:rPr>
        <w:t>)</w:t>
      </w:r>
    </w:p>
    <w:p w:rsidR="009E2D9B" w:rsidRDefault="00D52F18" w:rsidP="009E2D9B">
      <w:pPr>
        <w:pBdr>
          <w:top w:val="single" w:sz="4" w:space="1" w:color="auto"/>
          <w:left w:val="single" w:sz="4" w:space="4" w:color="auto"/>
          <w:bottom w:val="single" w:sz="4" w:space="1" w:color="auto"/>
          <w:right w:val="single" w:sz="4" w:space="4" w:color="auto"/>
        </w:pBdr>
        <w:shd w:val="clear" w:color="auto" w:fill="99FF99"/>
        <w:rPr>
          <w:rFonts w:asciiTheme="minorHAnsi" w:hAnsiTheme="minorHAnsi" w:cstheme="minorHAnsi"/>
          <w:b/>
          <w:sz w:val="28"/>
          <w:szCs w:val="28"/>
        </w:rPr>
      </w:pPr>
      <w:r w:rsidRPr="00566AEA">
        <w:rPr>
          <w:rFonts w:asciiTheme="minorHAnsi" w:hAnsiTheme="minorHAnsi" w:cstheme="minorHAnsi"/>
          <w:b/>
          <w:sz w:val="28"/>
          <w:szCs w:val="28"/>
        </w:rPr>
        <w:lastRenderedPageBreak/>
        <w:t>Veileder: Taushetsplikt og samhandling i kommunalt arbeid for barn</w:t>
      </w:r>
      <w:r w:rsidR="009E2D9B">
        <w:rPr>
          <w:rFonts w:asciiTheme="minorHAnsi" w:hAnsiTheme="minorHAnsi" w:cstheme="minorHAnsi"/>
          <w:b/>
          <w:sz w:val="28"/>
          <w:szCs w:val="28"/>
        </w:rPr>
        <w:t xml:space="preserve"> - </w:t>
      </w:r>
      <w:r w:rsidRPr="00566AEA">
        <w:rPr>
          <w:rFonts w:asciiTheme="minorHAnsi" w:hAnsiTheme="minorHAnsi" w:cstheme="minorHAnsi"/>
          <w:b/>
          <w:sz w:val="28"/>
          <w:szCs w:val="28"/>
        </w:rPr>
        <w:t>ungdom</w:t>
      </w:r>
      <w:r w:rsidR="009E2D9B">
        <w:rPr>
          <w:rFonts w:asciiTheme="minorHAnsi" w:hAnsiTheme="minorHAnsi" w:cstheme="minorHAnsi"/>
          <w:b/>
          <w:sz w:val="28"/>
          <w:szCs w:val="28"/>
        </w:rPr>
        <w:t xml:space="preserve"> -</w:t>
      </w:r>
      <w:r w:rsidRPr="00566AEA">
        <w:rPr>
          <w:rFonts w:asciiTheme="minorHAnsi" w:hAnsiTheme="minorHAnsi" w:cstheme="minorHAnsi"/>
          <w:b/>
          <w:sz w:val="28"/>
          <w:szCs w:val="28"/>
        </w:rPr>
        <w:t xml:space="preserve"> familier</w:t>
      </w:r>
      <w:r>
        <w:rPr>
          <w:rFonts w:asciiTheme="minorHAnsi" w:hAnsiTheme="minorHAnsi" w:cstheme="minorHAnsi"/>
          <w:b/>
          <w:sz w:val="28"/>
          <w:szCs w:val="28"/>
        </w:rPr>
        <w:t xml:space="preserve"> </w:t>
      </w:r>
      <w:r w:rsidR="009E2D9B">
        <w:rPr>
          <w:rFonts w:asciiTheme="minorHAnsi" w:hAnsiTheme="minorHAnsi" w:cstheme="minorHAnsi"/>
          <w:b/>
          <w:sz w:val="28"/>
          <w:szCs w:val="28"/>
        </w:rPr>
        <w:t>(</w:t>
      </w:r>
      <w:r w:rsidR="009E2D9B" w:rsidRPr="00566AEA">
        <w:rPr>
          <w:rFonts w:asciiTheme="minorHAnsi" w:hAnsiTheme="minorHAnsi" w:cstheme="minorHAnsi"/>
          <w:b/>
          <w:sz w:val="28"/>
          <w:szCs w:val="28"/>
        </w:rPr>
        <w:t>KS</w:t>
      </w:r>
      <w:r w:rsidR="009E2D9B">
        <w:rPr>
          <w:rFonts w:asciiTheme="minorHAnsi" w:hAnsiTheme="minorHAnsi" w:cstheme="minorHAnsi"/>
          <w:b/>
          <w:sz w:val="28"/>
          <w:szCs w:val="28"/>
        </w:rPr>
        <w:t xml:space="preserve"> </w:t>
      </w:r>
      <w:r w:rsidR="009E2D9B" w:rsidRPr="00566AEA">
        <w:rPr>
          <w:rFonts w:asciiTheme="minorHAnsi" w:hAnsiTheme="minorHAnsi" w:cstheme="minorHAnsi"/>
          <w:b/>
          <w:sz w:val="28"/>
          <w:szCs w:val="28"/>
        </w:rPr>
        <w:t>2013)</w:t>
      </w:r>
    </w:p>
    <w:p w:rsidR="001E67E3" w:rsidRDefault="003A35E0" w:rsidP="00D52F18">
      <w:pPr>
        <w:pBdr>
          <w:top w:val="single" w:sz="4" w:space="1" w:color="auto"/>
          <w:left w:val="single" w:sz="4" w:space="4" w:color="auto"/>
          <w:bottom w:val="single" w:sz="4" w:space="1" w:color="auto"/>
          <w:right w:val="single" w:sz="4" w:space="4" w:color="auto"/>
        </w:pBdr>
        <w:shd w:val="clear" w:color="auto" w:fill="99FF99"/>
        <w:rPr>
          <w:rFonts w:asciiTheme="minorHAnsi" w:hAnsiTheme="minorHAnsi" w:cstheme="minorHAnsi"/>
          <w:szCs w:val="22"/>
        </w:rPr>
      </w:pPr>
      <w:hyperlink r:id="rId7" w:history="1">
        <w:r w:rsidR="001E67E3" w:rsidRPr="001E67E3">
          <w:rPr>
            <w:rStyle w:val="Hyperkobling"/>
            <w:rFonts w:asciiTheme="minorHAnsi" w:hAnsiTheme="minorHAnsi" w:cstheme="minorHAnsi"/>
            <w:sz w:val="18"/>
            <w:szCs w:val="22"/>
          </w:rPr>
          <w:t>https://www.ks.no/globalassets/fagomrader/forskning-og-utvikling/verktoy/taushetsplikt-arbeid-barn-og-unge.pdf</w:t>
        </w:r>
      </w:hyperlink>
      <w:r w:rsidR="001E67E3">
        <w:rPr>
          <w:rFonts w:asciiTheme="minorHAnsi" w:hAnsiTheme="minorHAnsi" w:cstheme="minorHAnsi"/>
          <w:szCs w:val="22"/>
        </w:rPr>
        <w:t xml:space="preserve"> </w:t>
      </w:r>
    </w:p>
    <w:p w:rsidR="001E67E3" w:rsidRPr="00826398" w:rsidRDefault="001E67E3" w:rsidP="00D52F18">
      <w:pPr>
        <w:pBdr>
          <w:top w:val="single" w:sz="4" w:space="1" w:color="auto"/>
          <w:left w:val="single" w:sz="4" w:space="4" w:color="auto"/>
          <w:bottom w:val="single" w:sz="4" w:space="1" w:color="auto"/>
          <w:right w:val="single" w:sz="4" w:space="4" w:color="auto"/>
        </w:pBdr>
        <w:shd w:val="clear" w:color="auto" w:fill="99FF99"/>
        <w:rPr>
          <w:rFonts w:asciiTheme="minorHAnsi" w:hAnsiTheme="minorHAnsi" w:cstheme="minorHAnsi"/>
          <w:sz w:val="22"/>
          <w:szCs w:val="22"/>
        </w:rPr>
      </w:pPr>
    </w:p>
    <w:p w:rsidR="009E2D9B" w:rsidRPr="00826398" w:rsidRDefault="00D52F18" w:rsidP="00D52F18">
      <w:pPr>
        <w:pBdr>
          <w:top w:val="single" w:sz="4" w:space="1" w:color="auto"/>
          <w:left w:val="single" w:sz="4" w:space="4" w:color="auto"/>
          <w:bottom w:val="single" w:sz="4" w:space="1" w:color="auto"/>
          <w:right w:val="single" w:sz="4" w:space="4" w:color="auto"/>
        </w:pBdr>
        <w:shd w:val="clear" w:color="auto" w:fill="99FF99"/>
        <w:rPr>
          <w:rFonts w:asciiTheme="minorHAnsi" w:hAnsiTheme="minorHAnsi" w:cstheme="minorHAnsi"/>
          <w:sz w:val="22"/>
          <w:szCs w:val="22"/>
        </w:rPr>
      </w:pPr>
      <w:r w:rsidRPr="00826398">
        <w:rPr>
          <w:rFonts w:asciiTheme="minorHAnsi" w:hAnsiTheme="minorHAnsi" w:cstheme="minorHAnsi"/>
          <w:sz w:val="22"/>
          <w:szCs w:val="22"/>
        </w:rPr>
        <w:t xml:space="preserve">Det vises til veilederen </w:t>
      </w:r>
      <w:r w:rsidR="009E2D9B" w:rsidRPr="00826398">
        <w:rPr>
          <w:rFonts w:asciiTheme="minorHAnsi" w:hAnsiTheme="minorHAnsi" w:cstheme="minorHAnsi"/>
          <w:sz w:val="22"/>
          <w:szCs w:val="22"/>
        </w:rPr>
        <w:t>for</w:t>
      </w:r>
      <w:r w:rsidRPr="00826398">
        <w:rPr>
          <w:rFonts w:asciiTheme="minorHAnsi" w:hAnsiTheme="minorHAnsi" w:cstheme="minorHAnsi"/>
          <w:sz w:val="22"/>
          <w:szCs w:val="22"/>
        </w:rPr>
        <w:t xml:space="preserve"> informasjon om </w:t>
      </w:r>
      <w:r w:rsidR="009E2D9B" w:rsidRPr="00826398">
        <w:rPr>
          <w:rFonts w:asciiTheme="minorHAnsi" w:hAnsiTheme="minorHAnsi" w:cstheme="minorHAnsi"/>
          <w:sz w:val="22"/>
          <w:szCs w:val="22"/>
        </w:rPr>
        <w:t>blant annet</w:t>
      </w:r>
      <w:r w:rsidRPr="00826398">
        <w:rPr>
          <w:rFonts w:asciiTheme="minorHAnsi" w:hAnsiTheme="minorHAnsi" w:cstheme="minorHAnsi"/>
          <w:sz w:val="22"/>
          <w:szCs w:val="22"/>
        </w:rPr>
        <w:t xml:space="preserve"> samtykke og samhandling i arbeid for barn, ungdom og familier. </w:t>
      </w:r>
      <w:r w:rsidR="009E2D9B" w:rsidRPr="00826398">
        <w:rPr>
          <w:rFonts w:asciiTheme="minorHAnsi" w:hAnsiTheme="minorHAnsi" w:cstheme="minorHAnsi"/>
          <w:sz w:val="22"/>
          <w:szCs w:val="22"/>
        </w:rPr>
        <w:t>Her står det blant annet:</w:t>
      </w:r>
      <w:r w:rsidRPr="00826398">
        <w:rPr>
          <w:rFonts w:asciiTheme="minorHAnsi" w:hAnsiTheme="minorHAnsi" w:cstheme="minorHAnsi"/>
          <w:sz w:val="22"/>
          <w:szCs w:val="22"/>
        </w:rPr>
        <w:t xml:space="preserve"> </w:t>
      </w:r>
    </w:p>
    <w:p w:rsidR="00D52F18" w:rsidRPr="00826398" w:rsidRDefault="00D52F18" w:rsidP="00D52F18">
      <w:pPr>
        <w:pBdr>
          <w:top w:val="single" w:sz="4" w:space="1" w:color="auto"/>
          <w:left w:val="single" w:sz="4" w:space="4" w:color="auto"/>
          <w:bottom w:val="single" w:sz="4" w:space="1" w:color="auto"/>
          <w:right w:val="single" w:sz="4" w:space="4" w:color="auto"/>
        </w:pBdr>
        <w:shd w:val="clear" w:color="auto" w:fill="99FF99"/>
        <w:rPr>
          <w:rFonts w:asciiTheme="minorHAnsi" w:hAnsiTheme="minorHAnsi" w:cstheme="minorHAnsi"/>
          <w:sz w:val="22"/>
          <w:szCs w:val="22"/>
        </w:rPr>
      </w:pPr>
      <w:r w:rsidRPr="00826398">
        <w:rPr>
          <w:rFonts w:asciiTheme="minorHAnsi" w:hAnsiTheme="minorHAnsi" w:cstheme="minorHAnsi"/>
          <w:sz w:val="22"/>
          <w:szCs w:val="22"/>
        </w:rPr>
        <w:t xml:space="preserve">For at et samtykke skal være gyldig, må det være såkalt </w:t>
      </w:r>
      <w:r w:rsidRPr="00826398">
        <w:rPr>
          <w:rFonts w:asciiTheme="minorHAnsi" w:hAnsiTheme="minorHAnsi" w:cstheme="minorHAnsi"/>
          <w:b/>
          <w:i/>
          <w:sz w:val="22"/>
          <w:szCs w:val="22"/>
        </w:rPr>
        <w:t>informert</w:t>
      </w:r>
      <w:r w:rsidRPr="00826398">
        <w:rPr>
          <w:rFonts w:asciiTheme="minorHAnsi" w:hAnsiTheme="minorHAnsi" w:cstheme="minorHAnsi"/>
          <w:sz w:val="22"/>
          <w:szCs w:val="22"/>
        </w:rPr>
        <w:t xml:space="preserve">. Dette betyr at tjenestemottaker har blitt tilstrekkelig informert om formålet (bakgrunnen for at samtykket innhentes), hvilke opplysninger som inngår i samtykket, oversikt over hvem opplysningene kan gis til, videre bruk av opplysningene og hvilke konsekvenser samtykke kan få.  Informasjonen som gis må tilpasses mottakeren, slik at mottaker skjønner hva det innebærer/kan innebære for seg.  Det må også opplyses om at et samtykke når som helst kan trekkes tilbake og om mulige konsekvenser av dette. </w:t>
      </w:r>
    </w:p>
    <w:p w:rsidR="00D52F18" w:rsidRPr="00826398" w:rsidRDefault="00D52F18" w:rsidP="00D52F18">
      <w:pPr>
        <w:pBdr>
          <w:top w:val="single" w:sz="4" w:space="1" w:color="auto"/>
          <w:left w:val="single" w:sz="4" w:space="4" w:color="auto"/>
          <w:bottom w:val="single" w:sz="4" w:space="1" w:color="auto"/>
          <w:right w:val="single" w:sz="4" w:space="4" w:color="auto"/>
        </w:pBdr>
        <w:shd w:val="clear" w:color="auto" w:fill="99FF99"/>
        <w:rPr>
          <w:rFonts w:asciiTheme="minorHAnsi" w:hAnsiTheme="minorHAnsi" w:cstheme="minorHAnsi"/>
          <w:sz w:val="22"/>
        </w:rPr>
      </w:pPr>
      <w:r w:rsidRPr="00826398">
        <w:rPr>
          <w:rFonts w:asciiTheme="minorHAnsi" w:hAnsiTheme="minorHAnsi" w:cstheme="minorHAnsi"/>
          <w:sz w:val="22"/>
        </w:rPr>
        <w:t xml:space="preserve">Det er viktig å være oppmerksom på at et samtykke ikke kan sette </w:t>
      </w:r>
      <w:r w:rsidR="006152AE" w:rsidRPr="00826398">
        <w:rPr>
          <w:rFonts w:asciiTheme="minorHAnsi" w:hAnsiTheme="minorHAnsi" w:cstheme="minorHAnsi"/>
          <w:sz w:val="22"/>
        </w:rPr>
        <w:t>til side</w:t>
      </w:r>
      <w:r w:rsidRPr="00826398">
        <w:rPr>
          <w:rFonts w:asciiTheme="minorHAnsi" w:hAnsiTheme="minorHAnsi" w:cstheme="minorHAnsi"/>
          <w:sz w:val="22"/>
        </w:rPr>
        <w:t xml:space="preserve"> lovbestemte begrensninger i hva man kan samtykke til, </w:t>
      </w:r>
      <w:r w:rsidR="009E2D9B" w:rsidRPr="00826398">
        <w:rPr>
          <w:rFonts w:asciiTheme="minorHAnsi" w:hAnsiTheme="minorHAnsi" w:cstheme="minorHAnsi"/>
          <w:sz w:val="22"/>
        </w:rPr>
        <w:t>for eksempel</w:t>
      </w:r>
      <w:r w:rsidRPr="00826398">
        <w:rPr>
          <w:rFonts w:asciiTheme="minorHAnsi" w:hAnsiTheme="minorHAnsi" w:cstheme="minorHAnsi"/>
          <w:sz w:val="22"/>
        </w:rPr>
        <w:t xml:space="preserve"> i forholdet mellom foreldre og barn/ungdoms egen samtykkekompetanse. (Se </w:t>
      </w:r>
      <w:r w:rsidR="009E2D9B" w:rsidRPr="00826398">
        <w:rPr>
          <w:rFonts w:asciiTheme="minorHAnsi" w:hAnsiTheme="minorHAnsi" w:cstheme="minorHAnsi"/>
          <w:sz w:val="22"/>
        </w:rPr>
        <w:t>for eksempel</w:t>
      </w:r>
      <w:r w:rsidRPr="00826398">
        <w:rPr>
          <w:rFonts w:asciiTheme="minorHAnsi" w:hAnsiTheme="minorHAnsi" w:cstheme="minorHAnsi"/>
          <w:sz w:val="22"/>
        </w:rPr>
        <w:t xml:space="preserve"> </w:t>
      </w:r>
      <w:proofErr w:type="spellStart"/>
      <w:r w:rsidRPr="00826398">
        <w:rPr>
          <w:rFonts w:asciiTheme="minorHAnsi" w:hAnsiTheme="minorHAnsi" w:cstheme="minorHAnsi"/>
          <w:sz w:val="22"/>
        </w:rPr>
        <w:t>Helsepersonelloven</w:t>
      </w:r>
      <w:proofErr w:type="spellEnd"/>
      <w:r w:rsidRPr="00826398">
        <w:rPr>
          <w:rFonts w:asciiTheme="minorHAnsi" w:hAnsiTheme="minorHAnsi" w:cstheme="minorHAnsi"/>
          <w:sz w:val="22"/>
        </w:rPr>
        <w:t xml:space="preserve"> §22).</w:t>
      </w:r>
    </w:p>
    <w:p w:rsidR="00D52F18" w:rsidRPr="00826398" w:rsidRDefault="003A343B" w:rsidP="00D52F18">
      <w:pPr>
        <w:pBdr>
          <w:top w:val="single" w:sz="4" w:space="1" w:color="auto"/>
          <w:left w:val="single" w:sz="4" w:space="4" w:color="auto"/>
          <w:bottom w:val="single" w:sz="4" w:space="1" w:color="auto"/>
          <w:right w:val="single" w:sz="4" w:space="4" w:color="auto"/>
        </w:pBdr>
        <w:shd w:val="clear" w:color="auto" w:fill="99FF99"/>
        <w:rPr>
          <w:rFonts w:asciiTheme="minorHAnsi" w:hAnsiTheme="minorHAnsi" w:cstheme="minorHAnsi"/>
          <w:sz w:val="22"/>
        </w:rPr>
      </w:pPr>
      <w:r w:rsidRPr="00826398">
        <w:rPr>
          <w:rFonts w:asciiTheme="minorHAnsi" w:hAnsiTheme="minorHAnsi" w:cstheme="minorHAnsi"/>
          <w:sz w:val="22"/>
        </w:rPr>
        <w:t xml:space="preserve">Samtykke bør ikke gis for mer enn ett år, dersom opplysningene som deles er svært sensitive. Skjer det store endringer av de faktiske forutsetninger, for å dele opplysninger, bør det alltid innhentes nytt særskilt samtykke. </w:t>
      </w:r>
    </w:p>
    <w:p w:rsidR="008D39F9" w:rsidRDefault="00542CCD" w:rsidP="00B27694">
      <w:pPr>
        <w:rPr>
          <w:noProof/>
          <w:lang w:eastAsia="nb-NO"/>
        </w:rPr>
      </w:pPr>
      <w:r w:rsidRPr="00542CCD">
        <w:rPr>
          <w:noProof/>
          <w:lang w:eastAsia="nb-NO"/>
        </w:rPr>
        <w:t xml:space="preserve"> </w:t>
      </w:r>
    </w:p>
    <w:tbl>
      <w:tblPr>
        <w:tblStyle w:val="Tabellrutenett"/>
        <w:tblW w:w="9356" w:type="dxa"/>
        <w:tblInd w:w="-147" w:type="dxa"/>
        <w:tblLook w:val="04A0" w:firstRow="1" w:lastRow="0" w:firstColumn="1" w:lastColumn="0" w:noHBand="0" w:noVBand="1"/>
      </w:tblPr>
      <w:tblGrid>
        <w:gridCol w:w="9356"/>
      </w:tblGrid>
      <w:tr w:rsidR="00826398" w:rsidTr="00826398">
        <w:tc>
          <w:tcPr>
            <w:tcW w:w="9356" w:type="dxa"/>
          </w:tcPr>
          <w:p w:rsidR="00826398" w:rsidRPr="00826398" w:rsidRDefault="00826398" w:rsidP="00B27694">
            <w:pPr>
              <w:rPr>
                <w:rFonts w:ascii="Calibri" w:hAnsi="Calibri" w:cs="Calibri"/>
                <w:b/>
              </w:rPr>
            </w:pPr>
            <w:r w:rsidRPr="00826398">
              <w:rPr>
                <w:rFonts w:ascii="Calibri" w:hAnsi="Calibri" w:cs="Calibri"/>
                <w:b/>
              </w:rPr>
              <w:t>Lovbestemte aldersgrenser for medbestemmelse og selvbestemmelse</w:t>
            </w:r>
            <w:r>
              <w:rPr>
                <w:rFonts w:ascii="Calibri" w:hAnsi="Calibri" w:cs="Calibri"/>
                <w:b/>
              </w:rPr>
              <w:t xml:space="preserve"> </w:t>
            </w:r>
          </w:p>
          <w:p w:rsidR="00826398" w:rsidRPr="00953A7D" w:rsidRDefault="003A35E0" w:rsidP="00B27694">
            <w:pPr>
              <w:rPr>
                <w:rFonts w:ascii="Calibri" w:hAnsi="Calibri" w:cs="Calibri"/>
                <w:sz w:val="16"/>
                <w:lang w:val="nn-NO"/>
              </w:rPr>
            </w:pPr>
            <w:hyperlink r:id="rId8" w:history="1">
              <w:r w:rsidR="00826398" w:rsidRPr="00953A7D">
                <w:rPr>
                  <w:rStyle w:val="Hyperkobling"/>
                  <w:rFonts w:ascii="Calibri" w:hAnsi="Calibri" w:cs="Calibri"/>
                  <w:sz w:val="16"/>
                  <w:lang w:val="nn-NO"/>
                </w:rPr>
                <w:t>https://024.kikkutkunde.no/wp-content/uploads/2019/01/Sluttrapport_Barn-og-unges-rett-til-medbestemmelse.pdf</w:t>
              </w:r>
            </w:hyperlink>
            <w:r w:rsidR="00953A7D" w:rsidRPr="00953A7D">
              <w:rPr>
                <w:rFonts w:ascii="Calibri" w:hAnsi="Calibri" w:cs="Calibri"/>
                <w:sz w:val="16"/>
                <w:lang w:val="nn-NO"/>
              </w:rPr>
              <w:t xml:space="preserve"> (0-24 samarbeidet)</w:t>
            </w:r>
          </w:p>
          <w:p w:rsidR="00953A7D" w:rsidRPr="006917AC" w:rsidRDefault="00953A7D" w:rsidP="00B27694">
            <w:pPr>
              <w:rPr>
                <w:rFonts w:ascii="Calibri" w:hAnsi="Calibri" w:cs="Calibri"/>
                <w:sz w:val="22"/>
                <w:lang w:val="nn-NO"/>
              </w:rPr>
            </w:pPr>
          </w:p>
          <w:p w:rsidR="00953A7D" w:rsidRDefault="00826398" w:rsidP="00B27694">
            <w:pPr>
              <w:rPr>
                <w:rFonts w:ascii="Calibri" w:hAnsi="Calibri" w:cs="Calibri"/>
                <w:sz w:val="22"/>
              </w:rPr>
            </w:pPr>
            <w:r w:rsidRPr="00826398">
              <w:rPr>
                <w:rFonts w:ascii="Calibri" w:hAnsi="Calibri" w:cs="Calibri"/>
                <w:sz w:val="22"/>
              </w:rPr>
              <w:t xml:space="preserve">Myndighetsalderen i Norge er 18 år. Frem til barnet fyller 18 år, vil det som regel være vergen som opptrer på vegne av barnet, og dette vil normalt være den eller de som har foreldreansvaret for barnet. </w:t>
            </w:r>
          </w:p>
          <w:p w:rsidR="00953A7D" w:rsidRDefault="00826398" w:rsidP="00B27694">
            <w:pPr>
              <w:rPr>
                <w:rFonts w:ascii="Calibri" w:hAnsi="Calibri" w:cs="Calibri"/>
                <w:sz w:val="22"/>
              </w:rPr>
            </w:pPr>
            <w:r w:rsidRPr="00826398">
              <w:rPr>
                <w:rFonts w:ascii="Calibri" w:hAnsi="Calibri" w:cs="Calibri"/>
                <w:sz w:val="22"/>
              </w:rPr>
              <w:t xml:space="preserve">Barneloven § 33 fastslår at foreldrene skal gi barnet større selvråderett med alderen og frem til det blir myndig. </w:t>
            </w:r>
            <w:r w:rsidR="00CA040B">
              <w:rPr>
                <w:rFonts w:ascii="Calibri" w:hAnsi="Calibri" w:cs="Calibri"/>
                <w:sz w:val="22"/>
              </w:rPr>
              <w:t>A</w:t>
            </w:r>
            <w:r w:rsidRPr="00826398">
              <w:rPr>
                <w:rFonts w:ascii="Calibri" w:hAnsi="Calibri" w:cs="Calibri"/>
                <w:sz w:val="22"/>
              </w:rPr>
              <w:t>lder og modenhet er grunnlaget for vurderingen av medbestemmelse for barn i FNs barnekonvensjon artikkel 12 og i Grunnlovens bestemmelse om barns rettigheter i § 104. FNs barnekonvensjon er inkorporert som norsk lov gjennom menneskerettighetsloven, og det følger av menneskerettsloven § 3, jf. § 2 at ved motstrid skal konvensjonens bestemmelser gå foran annen norsk lov.</w:t>
            </w:r>
            <w:r w:rsidR="00CA040B">
              <w:rPr>
                <w:rFonts w:ascii="Calibri" w:hAnsi="Calibri" w:cs="Calibri"/>
                <w:sz w:val="22"/>
              </w:rPr>
              <w:t xml:space="preserve"> </w:t>
            </w:r>
          </w:p>
          <w:p w:rsidR="00826398" w:rsidRDefault="00CA040B" w:rsidP="00B27694">
            <w:pPr>
              <w:rPr>
                <w:rFonts w:ascii="Calibri" w:hAnsi="Calibri" w:cs="Calibri"/>
                <w:sz w:val="22"/>
              </w:rPr>
            </w:pPr>
            <w:r>
              <w:rPr>
                <w:rFonts w:ascii="Calibri" w:hAnsi="Calibri" w:cs="Calibri"/>
                <w:sz w:val="22"/>
              </w:rPr>
              <w:t>Se nærmere detaljer i dokumentet det linkes til ovenfor. Her er hovedtrekkene:</w:t>
            </w:r>
          </w:p>
          <w:p w:rsidR="00826398" w:rsidRPr="00953A7D" w:rsidRDefault="00826398" w:rsidP="00953A7D">
            <w:pPr>
              <w:pStyle w:val="Listeavsnitt"/>
              <w:numPr>
                <w:ilvl w:val="0"/>
                <w:numId w:val="5"/>
              </w:numPr>
              <w:rPr>
                <w:rFonts w:asciiTheme="minorHAnsi" w:hAnsiTheme="minorHAnsi" w:cstheme="minorHAnsi"/>
                <w:sz w:val="22"/>
              </w:rPr>
            </w:pPr>
            <w:r w:rsidRPr="00953A7D">
              <w:rPr>
                <w:rFonts w:asciiTheme="minorHAnsi" w:hAnsiTheme="minorHAnsi" w:cstheme="minorHAnsi"/>
                <w:sz w:val="22"/>
              </w:rPr>
              <w:t>7 år: retningsgivende aldersgrense for barns rett til å bli hørt</w:t>
            </w:r>
          </w:p>
          <w:p w:rsidR="00826398" w:rsidRPr="00953A7D" w:rsidRDefault="00826398" w:rsidP="00953A7D">
            <w:pPr>
              <w:pStyle w:val="Listeavsnitt"/>
              <w:numPr>
                <w:ilvl w:val="0"/>
                <w:numId w:val="5"/>
              </w:numPr>
              <w:rPr>
                <w:rFonts w:asciiTheme="minorHAnsi" w:hAnsiTheme="minorHAnsi" w:cstheme="minorHAnsi"/>
                <w:sz w:val="22"/>
              </w:rPr>
            </w:pPr>
            <w:r w:rsidRPr="00953A7D">
              <w:rPr>
                <w:rFonts w:asciiTheme="minorHAnsi" w:hAnsiTheme="minorHAnsi" w:cstheme="minorHAnsi"/>
                <w:sz w:val="22"/>
              </w:rPr>
              <w:t>12-år: barnets meninger skal tillegges stor eller betydelig vekt (medbestemmelse) og i en del tilfeller avgjørende vekt (selvbestemmelse)</w:t>
            </w:r>
          </w:p>
          <w:p w:rsidR="00826398" w:rsidRPr="00953A7D" w:rsidRDefault="00826398" w:rsidP="00953A7D">
            <w:pPr>
              <w:pStyle w:val="Listeavsnitt"/>
              <w:numPr>
                <w:ilvl w:val="0"/>
                <w:numId w:val="5"/>
              </w:numPr>
              <w:rPr>
                <w:rFonts w:asciiTheme="minorHAnsi" w:hAnsiTheme="minorHAnsi" w:cstheme="minorHAnsi"/>
                <w:sz w:val="22"/>
              </w:rPr>
            </w:pPr>
            <w:r w:rsidRPr="00953A7D">
              <w:rPr>
                <w:rFonts w:asciiTheme="minorHAnsi" w:hAnsiTheme="minorHAnsi" w:cstheme="minorHAnsi"/>
                <w:sz w:val="22"/>
              </w:rPr>
              <w:t xml:space="preserve">15-år: </w:t>
            </w:r>
            <w:r w:rsidR="00CA040B" w:rsidRPr="00953A7D">
              <w:rPr>
                <w:rFonts w:asciiTheme="minorHAnsi" w:hAnsiTheme="minorHAnsi" w:cstheme="minorHAnsi"/>
                <w:sz w:val="22"/>
              </w:rPr>
              <w:t>rett til selvbestemmelse i spørsmål om</w:t>
            </w:r>
            <w:r w:rsidR="00953A7D">
              <w:rPr>
                <w:rFonts w:asciiTheme="minorHAnsi" w:hAnsiTheme="minorHAnsi" w:cstheme="minorHAnsi"/>
                <w:sz w:val="22"/>
              </w:rPr>
              <w:t xml:space="preserve"> blant annet</w:t>
            </w:r>
            <w:r w:rsidR="00CA040B" w:rsidRPr="00953A7D">
              <w:rPr>
                <w:rFonts w:asciiTheme="minorHAnsi" w:hAnsiTheme="minorHAnsi" w:cstheme="minorHAnsi"/>
                <w:sz w:val="22"/>
              </w:rPr>
              <w:t xml:space="preserve"> valg av utdanning, spesi</w:t>
            </w:r>
            <w:r w:rsidR="006917AC">
              <w:rPr>
                <w:rFonts w:asciiTheme="minorHAnsi" w:hAnsiTheme="minorHAnsi" w:cstheme="minorHAnsi"/>
                <w:sz w:val="22"/>
              </w:rPr>
              <w:t>al</w:t>
            </w:r>
            <w:r w:rsidR="00CA040B" w:rsidRPr="00953A7D">
              <w:rPr>
                <w:rFonts w:asciiTheme="minorHAnsi" w:hAnsiTheme="minorHAnsi" w:cstheme="minorHAnsi"/>
                <w:sz w:val="22"/>
              </w:rPr>
              <w:t xml:space="preserve">undervisning, religion/livssyn; samtykke til individuell plan, tiltaksplan i barnevernet og til opphold i </w:t>
            </w:r>
            <w:proofErr w:type="spellStart"/>
            <w:r w:rsidR="00CA040B" w:rsidRPr="00953A7D">
              <w:rPr>
                <w:rFonts w:asciiTheme="minorHAnsi" w:hAnsiTheme="minorHAnsi" w:cstheme="minorHAnsi"/>
                <w:sz w:val="22"/>
              </w:rPr>
              <w:t>adferdsinstitusjon</w:t>
            </w:r>
            <w:proofErr w:type="spellEnd"/>
          </w:p>
          <w:p w:rsidR="00953A7D" w:rsidRPr="00953A7D" w:rsidRDefault="00CA040B" w:rsidP="00953A7D">
            <w:pPr>
              <w:pStyle w:val="Listeavsnitt"/>
              <w:numPr>
                <w:ilvl w:val="0"/>
                <w:numId w:val="5"/>
              </w:numPr>
              <w:rPr>
                <w:rFonts w:asciiTheme="minorHAnsi" w:hAnsiTheme="minorHAnsi" w:cstheme="minorHAnsi"/>
                <w:b/>
              </w:rPr>
            </w:pPr>
            <w:r w:rsidRPr="00953A7D">
              <w:rPr>
                <w:rFonts w:asciiTheme="minorHAnsi" w:hAnsiTheme="minorHAnsi" w:cstheme="minorHAnsi"/>
                <w:sz w:val="22"/>
              </w:rPr>
              <w:t xml:space="preserve">16 år: </w:t>
            </w:r>
            <w:r w:rsidR="00953A7D">
              <w:rPr>
                <w:rFonts w:asciiTheme="minorHAnsi" w:hAnsiTheme="minorHAnsi" w:cstheme="minorHAnsi"/>
                <w:sz w:val="22"/>
              </w:rPr>
              <w:t xml:space="preserve">selvbestemmelse i spørsmål om </w:t>
            </w:r>
            <w:r w:rsidRPr="00953A7D">
              <w:rPr>
                <w:rFonts w:asciiTheme="minorHAnsi" w:hAnsiTheme="minorHAnsi" w:cstheme="minorHAnsi"/>
                <w:sz w:val="22"/>
              </w:rPr>
              <w:t xml:space="preserve">helsehjelp («helserettslig myndighetsalder», med begrensninger) og </w:t>
            </w:r>
            <w:r w:rsidR="00953A7D" w:rsidRPr="00953A7D">
              <w:rPr>
                <w:rFonts w:asciiTheme="minorHAnsi" w:hAnsiTheme="minorHAnsi" w:cstheme="minorHAnsi"/>
                <w:sz w:val="22"/>
              </w:rPr>
              <w:t xml:space="preserve">bestemmer selv i </w:t>
            </w:r>
            <w:r w:rsidRPr="00953A7D">
              <w:rPr>
                <w:rFonts w:asciiTheme="minorHAnsi" w:hAnsiTheme="minorHAnsi" w:cstheme="minorHAnsi"/>
                <w:sz w:val="22"/>
              </w:rPr>
              <w:t>spørsmål om innsyn i opplysninger som gjelder dem selv</w:t>
            </w:r>
          </w:p>
          <w:p w:rsidR="00953A7D" w:rsidRPr="00953A7D" w:rsidRDefault="00953A7D" w:rsidP="00953A7D">
            <w:pPr>
              <w:pStyle w:val="Listeavsnitt"/>
              <w:ind w:left="360"/>
              <w:rPr>
                <w:rFonts w:asciiTheme="minorHAnsi" w:hAnsiTheme="minorHAnsi" w:cstheme="minorHAnsi"/>
                <w:b/>
              </w:rPr>
            </w:pPr>
          </w:p>
        </w:tc>
      </w:tr>
    </w:tbl>
    <w:p w:rsidR="00826398" w:rsidRPr="00B27694" w:rsidRDefault="00826398" w:rsidP="00B27694">
      <w:pPr>
        <w:rPr>
          <w:rFonts w:asciiTheme="minorHAnsi" w:hAnsiTheme="minorHAnsi" w:cstheme="minorHAnsi"/>
          <w:b/>
        </w:rPr>
      </w:pPr>
    </w:p>
    <w:sectPr w:rsidR="00826398" w:rsidRPr="00B2769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5E0" w:rsidRDefault="003A35E0" w:rsidP="00D52F18">
      <w:r>
        <w:separator/>
      </w:r>
    </w:p>
  </w:endnote>
  <w:endnote w:type="continuationSeparator" w:id="0">
    <w:p w:rsidR="003A35E0" w:rsidRDefault="003A35E0" w:rsidP="00D5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A42" w:rsidRPr="00422A42" w:rsidRDefault="00422A42">
    <w:pPr>
      <w:pStyle w:val="Bunntekst"/>
      <w:rPr>
        <w:i/>
        <w:sz w:val="14"/>
      </w:rPr>
    </w:pPr>
    <w:r w:rsidRPr="00422A42">
      <w:rPr>
        <w:i/>
        <w:sz w:val="14"/>
      </w:rPr>
      <w:t xml:space="preserve">Vedtatt i KE </w:t>
    </w:r>
    <w:r w:rsidR="006917AC">
      <w:rPr>
        <w:i/>
        <w:sz w:val="14"/>
      </w:rPr>
      <w:t>21.10.2019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5E0" w:rsidRDefault="003A35E0" w:rsidP="00D52F18">
      <w:r>
        <w:separator/>
      </w:r>
    </w:p>
  </w:footnote>
  <w:footnote w:type="continuationSeparator" w:id="0">
    <w:p w:rsidR="003A35E0" w:rsidRDefault="003A35E0" w:rsidP="00D52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F17810" w:rsidTr="000C224E">
      <w:tc>
        <w:tcPr>
          <w:tcW w:w="1129" w:type="dxa"/>
        </w:tcPr>
        <w:p w:rsidR="00F17810" w:rsidRDefault="00F17810" w:rsidP="00F17810">
          <w:pPr>
            <w:spacing w:line="276" w:lineRule="auto"/>
            <w:rPr>
              <w:b/>
              <w:sz w:val="32"/>
              <w:szCs w:val="32"/>
            </w:rPr>
          </w:pPr>
          <w:r>
            <w:rPr>
              <w:noProof/>
              <w:lang w:eastAsia="nb-NO"/>
            </w:rPr>
            <w:drawing>
              <wp:inline distT="0" distB="0" distL="0" distR="0" wp14:anchorId="1F12070B" wp14:editId="11A50512">
                <wp:extent cx="492642" cy="785148"/>
                <wp:effectExtent l="0" t="0" r="3175" b="0"/>
                <wp:docPr id="2" name="Bilde 2" descr="0901 -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0901 - 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6685" cy="791592"/>
                        </a:xfrm>
                        <a:prstGeom prst="rect">
                          <a:avLst/>
                        </a:prstGeom>
                        <a:noFill/>
                        <a:ln>
                          <a:noFill/>
                        </a:ln>
                      </pic:spPr>
                    </pic:pic>
                  </a:graphicData>
                </a:graphic>
              </wp:inline>
            </w:drawing>
          </w:r>
        </w:p>
      </w:tc>
      <w:tc>
        <w:tcPr>
          <w:tcW w:w="7933" w:type="dxa"/>
        </w:tcPr>
        <w:p w:rsidR="008D39F9" w:rsidRPr="008D39F9" w:rsidRDefault="008D39F9" w:rsidP="00F17810">
          <w:pPr>
            <w:spacing w:line="276" w:lineRule="auto"/>
            <w:rPr>
              <w:b/>
              <w:sz w:val="18"/>
              <w:szCs w:val="28"/>
            </w:rPr>
          </w:pPr>
        </w:p>
        <w:p w:rsidR="00F17810" w:rsidRPr="00F17810" w:rsidRDefault="00F17810" w:rsidP="00F17810">
          <w:pPr>
            <w:spacing w:line="276" w:lineRule="auto"/>
            <w:rPr>
              <w:b/>
              <w:sz w:val="28"/>
              <w:szCs w:val="28"/>
            </w:rPr>
          </w:pPr>
          <w:r w:rsidRPr="00F17810">
            <w:rPr>
              <w:b/>
              <w:sz w:val="28"/>
              <w:szCs w:val="28"/>
            </w:rPr>
            <w:t>RISØR KOMMUNE</w:t>
          </w:r>
        </w:p>
        <w:p w:rsidR="00F17810" w:rsidRPr="00F17810" w:rsidRDefault="00F17810" w:rsidP="00F17810">
          <w:pPr>
            <w:pStyle w:val="Topptekst"/>
            <w:rPr>
              <w:b/>
              <w:sz w:val="28"/>
              <w:szCs w:val="28"/>
            </w:rPr>
          </w:pPr>
        </w:p>
        <w:p w:rsidR="00F17810" w:rsidRPr="00F17810" w:rsidRDefault="00BB5BD6" w:rsidP="00432A85">
          <w:pPr>
            <w:pStyle w:val="Topptekst"/>
          </w:pPr>
          <w:r>
            <w:rPr>
              <w:b/>
              <w:sz w:val="28"/>
              <w:szCs w:val="28"/>
            </w:rPr>
            <w:t>Samtykke</w:t>
          </w:r>
          <w:r w:rsidR="00F17810" w:rsidRPr="00F17810">
            <w:rPr>
              <w:b/>
              <w:sz w:val="28"/>
              <w:szCs w:val="28"/>
            </w:rPr>
            <w:t xml:space="preserve"> </w:t>
          </w:r>
          <w:r w:rsidR="00432A85">
            <w:rPr>
              <w:b/>
              <w:sz w:val="28"/>
              <w:szCs w:val="28"/>
            </w:rPr>
            <w:t>til</w:t>
          </w:r>
          <w:r w:rsidR="00F17810" w:rsidRPr="00F17810">
            <w:rPr>
              <w:b/>
              <w:sz w:val="28"/>
              <w:szCs w:val="28"/>
            </w:rPr>
            <w:t xml:space="preserve"> tverrfaglig samhandling</w:t>
          </w:r>
        </w:p>
      </w:tc>
    </w:tr>
  </w:tbl>
  <w:p w:rsidR="00F17810" w:rsidRDefault="00F1781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38FA"/>
    <w:multiLevelType w:val="hybridMultilevel"/>
    <w:tmpl w:val="0ECE483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4A13109"/>
    <w:multiLevelType w:val="hybridMultilevel"/>
    <w:tmpl w:val="D0921E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2213F87"/>
    <w:multiLevelType w:val="singleLevel"/>
    <w:tmpl w:val="550E621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35B1283"/>
    <w:multiLevelType w:val="hybridMultilevel"/>
    <w:tmpl w:val="6D2CA13C"/>
    <w:lvl w:ilvl="0" w:tplc="D2CA2CBA">
      <w:start w:val="1"/>
      <w:numFmt w:val="bullet"/>
      <w:lvlText w:val=""/>
      <w:lvlJc w:val="left"/>
      <w:pPr>
        <w:ind w:left="360" w:hanging="360"/>
      </w:pPr>
      <w:rPr>
        <w:rFonts w:ascii="Symbol" w:hAnsi="Symbol" w:hint="default"/>
      </w:rPr>
    </w:lvl>
    <w:lvl w:ilvl="1" w:tplc="04140003" w:tentative="1">
      <w:start w:val="1"/>
      <w:numFmt w:val="bullet"/>
      <w:lvlText w:val="o"/>
      <w:lvlJc w:val="left"/>
      <w:pPr>
        <w:ind w:left="372" w:hanging="360"/>
      </w:pPr>
      <w:rPr>
        <w:rFonts w:ascii="Courier New" w:hAnsi="Courier New" w:cs="Courier New" w:hint="default"/>
      </w:rPr>
    </w:lvl>
    <w:lvl w:ilvl="2" w:tplc="04140005" w:tentative="1">
      <w:start w:val="1"/>
      <w:numFmt w:val="bullet"/>
      <w:lvlText w:val=""/>
      <w:lvlJc w:val="left"/>
      <w:pPr>
        <w:ind w:left="1092" w:hanging="360"/>
      </w:pPr>
      <w:rPr>
        <w:rFonts w:ascii="Wingdings" w:hAnsi="Wingdings" w:hint="default"/>
      </w:rPr>
    </w:lvl>
    <w:lvl w:ilvl="3" w:tplc="04140001" w:tentative="1">
      <w:start w:val="1"/>
      <w:numFmt w:val="bullet"/>
      <w:lvlText w:val=""/>
      <w:lvlJc w:val="left"/>
      <w:pPr>
        <w:ind w:left="1812" w:hanging="360"/>
      </w:pPr>
      <w:rPr>
        <w:rFonts w:ascii="Symbol" w:hAnsi="Symbol" w:hint="default"/>
      </w:rPr>
    </w:lvl>
    <w:lvl w:ilvl="4" w:tplc="04140003" w:tentative="1">
      <w:start w:val="1"/>
      <w:numFmt w:val="bullet"/>
      <w:lvlText w:val="o"/>
      <w:lvlJc w:val="left"/>
      <w:pPr>
        <w:ind w:left="2532" w:hanging="360"/>
      </w:pPr>
      <w:rPr>
        <w:rFonts w:ascii="Courier New" w:hAnsi="Courier New" w:cs="Courier New" w:hint="default"/>
      </w:rPr>
    </w:lvl>
    <w:lvl w:ilvl="5" w:tplc="04140005" w:tentative="1">
      <w:start w:val="1"/>
      <w:numFmt w:val="bullet"/>
      <w:lvlText w:val=""/>
      <w:lvlJc w:val="left"/>
      <w:pPr>
        <w:ind w:left="3252" w:hanging="360"/>
      </w:pPr>
      <w:rPr>
        <w:rFonts w:ascii="Wingdings" w:hAnsi="Wingdings" w:hint="default"/>
      </w:rPr>
    </w:lvl>
    <w:lvl w:ilvl="6" w:tplc="04140001" w:tentative="1">
      <w:start w:val="1"/>
      <w:numFmt w:val="bullet"/>
      <w:lvlText w:val=""/>
      <w:lvlJc w:val="left"/>
      <w:pPr>
        <w:ind w:left="3972" w:hanging="360"/>
      </w:pPr>
      <w:rPr>
        <w:rFonts w:ascii="Symbol" w:hAnsi="Symbol" w:hint="default"/>
      </w:rPr>
    </w:lvl>
    <w:lvl w:ilvl="7" w:tplc="04140003" w:tentative="1">
      <w:start w:val="1"/>
      <w:numFmt w:val="bullet"/>
      <w:lvlText w:val="o"/>
      <w:lvlJc w:val="left"/>
      <w:pPr>
        <w:ind w:left="4692" w:hanging="360"/>
      </w:pPr>
      <w:rPr>
        <w:rFonts w:ascii="Courier New" w:hAnsi="Courier New" w:cs="Courier New" w:hint="default"/>
      </w:rPr>
    </w:lvl>
    <w:lvl w:ilvl="8" w:tplc="04140005" w:tentative="1">
      <w:start w:val="1"/>
      <w:numFmt w:val="bullet"/>
      <w:lvlText w:val=""/>
      <w:lvlJc w:val="left"/>
      <w:pPr>
        <w:ind w:left="5412" w:hanging="360"/>
      </w:pPr>
      <w:rPr>
        <w:rFonts w:ascii="Wingdings" w:hAnsi="Wingdings" w:hint="default"/>
      </w:rPr>
    </w:lvl>
  </w:abstractNum>
  <w:abstractNum w:abstractNumId="4" w15:restartNumberingAfterBreak="0">
    <w:nsid w:val="2ADD096B"/>
    <w:multiLevelType w:val="hybridMultilevel"/>
    <w:tmpl w:val="E2988C26"/>
    <w:lvl w:ilvl="0" w:tplc="D2CA2CBA">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F18"/>
    <w:rsid w:val="000C224E"/>
    <w:rsid w:val="000D0F64"/>
    <w:rsid w:val="000F22A6"/>
    <w:rsid w:val="001E67E3"/>
    <w:rsid w:val="00296C81"/>
    <w:rsid w:val="002E0F6E"/>
    <w:rsid w:val="003A343B"/>
    <w:rsid w:val="003A35E0"/>
    <w:rsid w:val="003B07DE"/>
    <w:rsid w:val="00422A42"/>
    <w:rsid w:val="00432A85"/>
    <w:rsid w:val="00511319"/>
    <w:rsid w:val="00542CCD"/>
    <w:rsid w:val="005834FF"/>
    <w:rsid w:val="006152AE"/>
    <w:rsid w:val="00671FD0"/>
    <w:rsid w:val="006917AC"/>
    <w:rsid w:val="006E76C7"/>
    <w:rsid w:val="00765F18"/>
    <w:rsid w:val="00814134"/>
    <w:rsid w:val="00826398"/>
    <w:rsid w:val="00882F7B"/>
    <w:rsid w:val="008C75EF"/>
    <w:rsid w:val="008D39F9"/>
    <w:rsid w:val="00953A7D"/>
    <w:rsid w:val="009E2D9B"/>
    <w:rsid w:val="00A32130"/>
    <w:rsid w:val="00A37308"/>
    <w:rsid w:val="00A620DC"/>
    <w:rsid w:val="00AA53A8"/>
    <w:rsid w:val="00B27016"/>
    <w:rsid w:val="00B27694"/>
    <w:rsid w:val="00BB5BD6"/>
    <w:rsid w:val="00BC1823"/>
    <w:rsid w:val="00BD39EB"/>
    <w:rsid w:val="00CA040B"/>
    <w:rsid w:val="00D52F18"/>
    <w:rsid w:val="00E35FB8"/>
    <w:rsid w:val="00EB37BF"/>
    <w:rsid w:val="00F159E5"/>
    <w:rsid w:val="00F17810"/>
    <w:rsid w:val="00FD2DC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26695F-1193-4261-9BC7-009DA0932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F18"/>
    <w:pPr>
      <w:spacing w:after="0" w:line="240" w:lineRule="auto"/>
    </w:pPr>
    <w:rPr>
      <w:rFonts w:ascii="Arial" w:eastAsia="Times New Roman" w:hAnsi="Arial" w:cs="Times New Roman"/>
      <w:sz w:val="24"/>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D52F18"/>
    <w:rPr>
      <w:color w:val="0563C1" w:themeColor="hyperlink"/>
      <w:u w:val="single"/>
    </w:rPr>
  </w:style>
  <w:style w:type="paragraph" w:styleId="Topptekst">
    <w:name w:val="header"/>
    <w:basedOn w:val="Normal"/>
    <w:link w:val="TopptekstTegn"/>
    <w:uiPriority w:val="99"/>
    <w:unhideWhenUsed/>
    <w:rsid w:val="00D52F18"/>
    <w:pPr>
      <w:tabs>
        <w:tab w:val="center" w:pos="4536"/>
        <w:tab w:val="right" w:pos="9072"/>
      </w:tabs>
    </w:pPr>
  </w:style>
  <w:style w:type="character" w:customStyle="1" w:styleId="TopptekstTegn">
    <w:name w:val="Topptekst Tegn"/>
    <w:basedOn w:val="Standardskriftforavsnitt"/>
    <w:link w:val="Topptekst"/>
    <w:uiPriority w:val="99"/>
    <w:rsid w:val="00D52F18"/>
    <w:rPr>
      <w:rFonts w:ascii="Arial" w:eastAsia="Times New Roman" w:hAnsi="Arial" w:cs="Times New Roman"/>
      <w:sz w:val="24"/>
      <w:szCs w:val="20"/>
    </w:rPr>
  </w:style>
  <w:style w:type="paragraph" w:styleId="Bunntekst">
    <w:name w:val="footer"/>
    <w:basedOn w:val="Normal"/>
    <w:link w:val="BunntekstTegn"/>
    <w:uiPriority w:val="99"/>
    <w:unhideWhenUsed/>
    <w:rsid w:val="00D52F18"/>
    <w:pPr>
      <w:tabs>
        <w:tab w:val="center" w:pos="4536"/>
        <w:tab w:val="right" w:pos="9072"/>
      </w:tabs>
    </w:pPr>
  </w:style>
  <w:style w:type="character" w:customStyle="1" w:styleId="BunntekstTegn">
    <w:name w:val="Bunntekst Tegn"/>
    <w:basedOn w:val="Standardskriftforavsnitt"/>
    <w:link w:val="Bunntekst"/>
    <w:uiPriority w:val="99"/>
    <w:rsid w:val="00D52F18"/>
    <w:rPr>
      <w:rFonts w:ascii="Arial" w:eastAsia="Times New Roman" w:hAnsi="Arial" w:cs="Times New Roman"/>
      <w:sz w:val="24"/>
      <w:szCs w:val="20"/>
    </w:rPr>
  </w:style>
  <w:style w:type="table" w:styleId="Tabellrutenett">
    <w:name w:val="Table Grid"/>
    <w:basedOn w:val="Vanligtabell"/>
    <w:uiPriority w:val="39"/>
    <w:rsid w:val="008C7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511319"/>
    <w:pPr>
      <w:ind w:left="720"/>
      <w:contextualSpacing/>
    </w:pPr>
  </w:style>
  <w:style w:type="paragraph" w:styleId="Bobletekst">
    <w:name w:val="Balloon Text"/>
    <w:basedOn w:val="Normal"/>
    <w:link w:val="BobletekstTegn"/>
    <w:uiPriority w:val="99"/>
    <w:semiHidden/>
    <w:unhideWhenUsed/>
    <w:rsid w:val="009E2D9B"/>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E2D9B"/>
    <w:rPr>
      <w:rFonts w:ascii="Segoe UI" w:eastAsia="Times New Roman" w:hAnsi="Segoe UI" w:cs="Segoe UI"/>
      <w:sz w:val="18"/>
      <w:szCs w:val="18"/>
    </w:rPr>
  </w:style>
  <w:style w:type="character" w:styleId="Fulgthyperkobling">
    <w:name w:val="FollowedHyperlink"/>
    <w:basedOn w:val="Standardskriftforavsnitt"/>
    <w:uiPriority w:val="99"/>
    <w:semiHidden/>
    <w:unhideWhenUsed/>
    <w:rsid w:val="009E2D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118438">
      <w:bodyDiv w:val="1"/>
      <w:marLeft w:val="0"/>
      <w:marRight w:val="0"/>
      <w:marTop w:val="0"/>
      <w:marBottom w:val="0"/>
      <w:divBdr>
        <w:top w:val="none" w:sz="0" w:space="0" w:color="auto"/>
        <w:left w:val="none" w:sz="0" w:space="0" w:color="auto"/>
        <w:bottom w:val="none" w:sz="0" w:space="0" w:color="auto"/>
        <w:right w:val="none" w:sz="0" w:space="0" w:color="auto"/>
      </w:divBdr>
    </w:div>
    <w:div w:id="1439527440">
      <w:bodyDiv w:val="1"/>
      <w:marLeft w:val="0"/>
      <w:marRight w:val="0"/>
      <w:marTop w:val="0"/>
      <w:marBottom w:val="0"/>
      <w:divBdr>
        <w:top w:val="none" w:sz="0" w:space="0" w:color="auto"/>
        <w:left w:val="none" w:sz="0" w:space="0" w:color="auto"/>
        <w:bottom w:val="none" w:sz="0" w:space="0" w:color="auto"/>
        <w:right w:val="none" w:sz="0" w:space="0" w:color="auto"/>
      </w:divBdr>
    </w:div>
    <w:div w:id="202285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024.kikkutkunde.no/wp-content/uploads/2019/01/Sluttrapport_Barn-og-unges-rett-til-medbestemmelse.pdf" TargetMode="External"/><Relationship Id="rId3" Type="http://schemas.openxmlformats.org/officeDocument/2006/relationships/settings" Target="settings.xml"/><Relationship Id="rId7" Type="http://schemas.openxmlformats.org/officeDocument/2006/relationships/hyperlink" Target="https://www.ks.no/globalassets/fagomrader/forskning-og-utvikling/verktoy/taushetsplikt-arbeid-barn-og-ung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879</Words>
  <Characters>4659</Characters>
  <Application>Microsoft Office Word</Application>
  <DocSecurity>0</DocSecurity>
  <Lines>38</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Evensen, Elin</dc:creator>
  <cp:keywords/>
  <dc:description/>
  <cp:lastModifiedBy>Hommelsgård, Stine</cp:lastModifiedBy>
  <cp:revision>2</cp:revision>
  <cp:lastPrinted>2018-08-14T07:29:00Z</cp:lastPrinted>
  <dcterms:created xsi:type="dcterms:W3CDTF">2020-08-20T07:01:00Z</dcterms:created>
  <dcterms:modified xsi:type="dcterms:W3CDTF">2020-08-20T07:01:00Z</dcterms:modified>
</cp:coreProperties>
</file>